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DA" w:rsidRPr="00410A99" w:rsidRDefault="005F3B57" w:rsidP="00433208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844DA"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2844DA" w:rsidRPr="00410A99" w:rsidRDefault="004B15BC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="002844DA"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2844DA" w:rsidRPr="00410A99" w:rsidRDefault="002844DA" w:rsidP="002844D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2844DA" w:rsidRPr="00410A99" w:rsidRDefault="002844DA" w:rsidP="002844DA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2844DA" w:rsidRPr="00410A99" w:rsidRDefault="00975908" w:rsidP="002844D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28.02. 2023</w:t>
      </w:r>
      <w:r w:rsidR="002844DA"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 22</w:t>
      </w:r>
      <w:r w:rsidR="002844DA" w:rsidRPr="00410A99">
        <w:rPr>
          <w:rFonts w:ascii="Times New Roman" w:hAnsi="Times New Roman" w:cs="Times New Roman"/>
          <w:sz w:val="32"/>
          <w:szCs w:val="32"/>
        </w:rPr>
        <w:t>/1-р.С.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44DA" w:rsidRPr="0074174D" w:rsidRDefault="002844DA" w:rsidP="002844DA">
      <w:pPr>
        <w:pStyle w:val="a3"/>
        <w:ind w:right="-1"/>
        <w:rPr>
          <w:szCs w:val="28"/>
        </w:rPr>
      </w:pPr>
      <w:r w:rsidRPr="0074174D">
        <w:rPr>
          <w:szCs w:val="28"/>
        </w:rPr>
        <w:t>«</w:t>
      </w:r>
      <w:r w:rsidRPr="00410A99">
        <w:rPr>
          <w:sz w:val="32"/>
          <w:szCs w:val="32"/>
        </w:rPr>
        <w:t xml:space="preserve">Об итогах деятельности </w:t>
      </w:r>
      <w:proofErr w:type="gramStart"/>
      <w:r w:rsidRPr="00410A99">
        <w:rPr>
          <w:sz w:val="32"/>
          <w:szCs w:val="32"/>
        </w:rPr>
        <w:t>администрациимуниципального  образования</w:t>
      </w:r>
      <w:proofErr w:type="gramEnd"/>
      <w:r w:rsidRPr="00410A99">
        <w:rPr>
          <w:sz w:val="32"/>
          <w:szCs w:val="32"/>
        </w:rPr>
        <w:t xml:space="preserve"> Хуторской сельсовет Новосергиевского района Оренбургской области </w:t>
      </w:r>
      <w:r w:rsidRPr="00410A99">
        <w:rPr>
          <w:bCs/>
          <w:sz w:val="32"/>
          <w:szCs w:val="32"/>
        </w:rPr>
        <w:t xml:space="preserve">за </w:t>
      </w:r>
      <w:r w:rsidR="00520A21">
        <w:rPr>
          <w:bCs/>
          <w:sz w:val="32"/>
          <w:szCs w:val="32"/>
        </w:rPr>
        <w:t xml:space="preserve">2022 </w:t>
      </w:r>
      <w:r w:rsidRPr="00410A99">
        <w:rPr>
          <w:bCs/>
          <w:sz w:val="32"/>
          <w:szCs w:val="32"/>
        </w:rPr>
        <w:t>год»</w:t>
      </w:r>
    </w:p>
    <w:p w:rsidR="002844DA" w:rsidRDefault="002844DA" w:rsidP="002844DA">
      <w:pPr>
        <w:rPr>
          <w:sz w:val="28"/>
        </w:rPr>
      </w:pPr>
    </w:p>
    <w:p w:rsidR="002844DA" w:rsidRDefault="002844DA" w:rsidP="002844D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Заслушав и обсудив представленный Главой муниципального образования Хуторской сельсовет </w:t>
      </w:r>
      <w:r w:rsidRPr="0063263D">
        <w:rPr>
          <w:sz w:val="28"/>
          <w:szCs w:val="28"/>
        </w:rPr>
        <w:t>Новосергиевского района Оренбургской области</w:t>
      </w:r>
      <w:r>
        <w:rPr>
          <w:sz w:val="28"/>
          <w:szCs w:val="28"/>
        </w:rPr>
        <w:t xml:space="preserve"> С.А. Семенко</w:t>
      </w:r>
      <w:r>
        <w:rPr>
          <w:sz w:val="28"/>
        </w:rPr>
        <w:t xml:space="preserve"> отчёт о результатах его деятельности, деятельности администрации МО</w:t>
      </w:r>
      <w:r>
        <w:rPr>
          <w:sz w:val="28"/>
          <w:szCs w:val="28"/>
        </w:rPr>
        <w:t>Хуторской сельсовет</w:t>
      </w:r>
      <w:r>
        <w:rPr>
          <w:sz w:val="28"/>
        </w:rPr>
        <w:t xml:space="preserve">, в соответствии с Федеральным законом от 6 октября 2003 № 131-ФЗ «Об общих принципах организации местного самоуправления в Российской Федерации», Уставом МО Хуторской сельсовет, </w:t>
      </w:r>
      <w:r w:rsidRPr="00462911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Хуторской сельсовет </w:t>
      </w:r>
    </w:p>
    <w:p w:rsidR="002844DA" w:rsidRPr="0074174D" w:rsidRDefault="002844DA" w:rsidP="002844DA">
      <w:pPr>
        <w:jc w:val="both"/>
        <w:rPr>
          <w:sz w:val="28"/>
        </w:rPr>
      </w:pPr>
      <w:r w:rsidRPr="00462911">
        <w:rPr>
          <w:sz w:val="28"/>
          <w:szCs w:val="28"/>
        </w:rPr>
        <w:t>РЕШИЛ:</w:t>
      </w:r>
    </w:p>
    <w:p w:rsidR="002844DA" w:rsidRDefault="002844DA" w:rsidP="00284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Главы муниципального образования Хуторской сельсовет Семенко Станислава Анатольевича о результатах его деятельности и деятельности администрации МО Хуторской </w:t>
      </w:r>
      <w:r w:rsidR="00520A21">
        <w:rPr>
          <w:sz w:val="28"/>
          <w:szCs w:val="28"/>
        </w:rPr>
        <w:t>сельсовет за 2022</w:t>
      </w:r>
      <w:r>
        <w:rPr>
          <w:sz w:val="28"/>
          <w:szCs w:val="28"/>
        </w:rPr>
        <w:t xml:space="preserve"> год (приложение).</w:t>
      </w:r>
    </w:p>
    <w:p w:rsidR="002844DA" w:rsidRPr="007408B3" w:rsidRDefault="002844DA" w:rsidP="002844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Признать деятельность Главы муниципального образования Хуторской сельсовет Семенко Станислава Анатольевича и деятельность Администрации муниципального образования Хуторской сельсовет за </w:t>
      </w:r>
      <w:r w:rsidR="00520A2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год, удовлетворительной.</w:t>
      </w:r>
    </w:p>
    <w:p w:rsidR="002844DA" w:rsidRDefault="002844DA" w:rsidP="002844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МО Хуторской сельсовет.</w:t>
      </w:r>
    </w:p>
    <w:p w:rsidR="002844DA" w:rsidRDefault="002844DA" w:rsidP="002844DA">
      <w:pPr>
        <w:ind w:left="720"/>
        <w:jc w:val="both"/>
        <w:rPr>
          <w:sz w:val="28"/>
          <w:szCs w:val="28"/>
        </w:rPr>
      </w:pPr>
    </w:p>
    <w:p w:rsidR="002844DA" w:rsidRPr="0063263D" w:rsidRDefault="002844DA" w:rsidP="002844DA">
      <w:pPr>
        <w:keepNext/>
        <w:keepLines/>
        <w:jc w:val="both"/>
        <w:rPr>
          <w:bCs/>
          <w:sz w:val="28"/>
          <w:szCs w:val="28"/>
        </w:rPr>
      </w:pPr>
    </w:p>
    <w:p w:rsidR="002844DA" w:rsidRDefault="006D4236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44D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844DA" w:rsidRDefault="002844DA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Хуторской сельсовет</w:t>
      </w:r>
      <w:r w:rsidR="006D42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3E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D4236">
        <w:rPr>
          <w:rFonts w:ascii="Times New Roman" w:hAnsi="Times New Roman" w:cs="Times New Roman"/>
          <w:sz w:val="28"/>
          <w:szCs w:val="28"/>
        </w:rPr>
        <w:t xml:space="preserve"> И.А. Рубцова</w:t>
      </w:r>
    </w:p>
    <w:p w:rsidR="002844DA" w:rsidRDefault="002844DA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DA" w:rsidRDefault="002844DA" w:rsidP="002844DA">
      <w:pPr>
        <w:pStyle w:val="ConsPlusNormal"/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С.А. Семенко</w:t>
      </w:r>
    </w:p>
    <w:p w:rsidR="002844DA" w:rsidRDefault="002844DA" w:rsidP="002844DA">
      <w:pPr>
        <w:jc w:val="both"/>
        <w:rPr>
          <w:szCs w:val="28"/>
        </w:rPr>
      </w:pPr>
    </w:p>
    <w:p w:rsidR="002844DA" w:rsidRDefault="002844DA" w:rsidP="002844DA">
      <w:pPr>
        <w:jc w:val="both"/>
        <w:rPr>
          <w:sz w:val="28"/>
        </w:rPr>
      </w:pPr>
    </w:p>
    <w:p w:rsidR="002844DA" w:rsidRDefault="002844DA" w:rsidP="002844DA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орготдел</w:t>
      </w:r>
      <w:proofErr w:type="spellEnd"/>
      <w:r>
        <w:rPr>
          <w:sz w:val="28"/>
        </w:rPr>
        <w:t>, прокурору, в дело.</w:t>
      </w:r>
    </w:p>
    <w:p w:rsidR="00CA3A55" w:rsidRDefault="002C3F1E"/>
    <w:p w:rsidR="0085256B" w:rsidRDefault="0085256B" w:rsidP="0085256B">
      <w:pPr>
        <w:jc w:val="right"/>
      </w:pPr>
      <w:r>
        <w:lastRenderedPageBreak/>
        <w:t xml:space="preserve">Приложение </w:t>
      </w:r>
    </w:p>
    <w:p w:rsidR="0085256B" w:rsidRDefault="0085256B" w:rsidP="0085256B">
      <w:pPr>
        <w:jc w:val="right"/>
      </w:pPr>
      <w:r>
        <w:t>к решению Совета депутатов</w:t>
      </w:r>
    </w:p>
    <w:p w:rsidR="0085256B" w:rsidRDefault="00F6333E" w:rsidP="0085256B">
      <w:pPr>
        <w:jc w:val="right"/>
      </w:pPr>
      <w:r>
        <w:t>От 28.02.2023 № 22</w:t>
      </w:r>
      <w:r w:rsidR="0085256B">
        <w:t>/1-р.С.</w:t>
      </w:r>
    </w:p>
    <w:p w:rsidR="0085256B" w:rsidRDefault="0085256B" w:rsidP="0085256B">
      <w:pPr>
        <w:jc w:val="right"/>
      </w:pP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главы</w:t>
      </w:r>
      <w:r>
        <w:rPr>
          <w:rFonts w:ascii="Times New Roman" w:hAnsi="Times New Roman" w:cs="Times New Roman"/>
          <w:sz w:val="32"/>
          <w:szCs w:val="32"/>
        </w:rPr>
        <w:br/>
        <w:t xml:space="preserve">МО   Хуторского сельсовета   Новосергиевского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A212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результатах деятельности админ</w:t>
      </w:r>
      <w:r w:rsidR="00A21201">
        <w:rPr>
          <w:rFonts w:ascii="Times New Roman" w:hAnsi="Times New Roman" w:cs="Times New Roman"/>
          <w:sz w:val="32"/>
          <w:szCs w:val="32"/>
        </w:rPr>
        <w:t>истрации поселения за 202</w:t>
      </w:r>
      <w:r w:rsidR="00520A2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85256B" w:rsidRPr="00D82E84" w:rsidRDefault="00520A21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перспективах развития на 2023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85256B" w:rsidP="0085256B">
      <w:pPr>
        <w:pStyle w:val="a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Добрый день, уважаемые депутаты и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гости</w:t>
      </w:r>
      <w:r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85256B" w:rsidRPr="00D82E84" w:rsidRDefault="0085256B" w:rsidP="0085256B">
      <w:pPr>
        <w:pStyle w:val="a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егодня</w:t>
      </w:r>
      <w:r w:rsidR="00A212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82E84">
        <w:rPr>
          <w:rFonts w:ascii="Times New Roman" w:hAnsi="Times New Roman" w:cs="Times New Roman"/>
          <w:sz w:val="32"/>
          <w:szCs w:val="32"/>
        </w:rPr>
        <w:t>мы  подведем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 основны</w:t>
      </w:r>
      <w:r w:rsidR="00520A21">
        <w:rPr>
          <w:rFonts w:ascii="Times New Roman" w:hAnsi="Times New Roman" w:cs="Times New Roman"/>
          <w:sz w:val="32"/>
          <w:szCs w:val="32"/>
        </w:rPr>
        <w:t>е итоги работы за прошедший 2022</w:t>
      </w:r>
      <w:r w:rsidR="007A2B37"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>год.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Деятельн</w:t>
      </w:r>
      <w:r>
        <w:rPr>
          <w:rFonts w:ascii="Times New Roman" w:hAnsi="Times New Roman" w:cs="Times New Roman"/>
          <w:sz w:val="32"/>
          <w:szCs w:val="32"/>
        </w:rPr>
        <w:t>ость администрации  Хуторского  сельсовета</w:t>
      </w:r>
      <w:r w:rsidRPr="00D82E84">
        <w:rPr>
          <w:rFonts w:ascii="Times New Roman" w:hAnsi="Times New Roman" w:cs="Times New Roman"/>
          <w:sz w:val="32"/>
          <w:szCs w:val="32"/>
        </w:rPr>
        <w:t xml:space="preserve"> в минувшем периоде строилась в соответ</w:t>
      </w:r>
      <w:r>
        <w:rPr>
          <w:rFonts w:ascii="Times New Roman" w:hAnsi="Times New Roman" w:cs="Times New Roman"/>
          <w:sz w:val="32"/>
          <w:szCs w:val="32"/>
        </w:rPr>
        <w:t>ствии с федеральным и  областным</w:t>
      </w:r>
      <w:r w:rsidRPr="00D82E84">
        <w:rPr>
          <w:rFonts w:ascii="Times New Roman" w:hAnsi="Times New Roman" w:cs="Times New Roman"/>
          <w:sz w:val="32"/>
          <w:szCs w:val="32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</w:t>
      </w:r>
      <w:r>
        <w:rPr>
          <w:rFonts w:ascii="Times New Roman" w:hAnsi="Times New Roman" w:cs="Times New Roman"/>
          <w:sz w:val="32"/>
          <w:szCs w:val="32"/>
        </w:rPr>
        <w:t>г.№</w:t>
      </w:r>
      <w:r w:rsidRPr="00D82E84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РФ».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Главным направлением деятельности администрации является обеспечение жизнедеятельности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населения, что включает в себя прежде всего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содержание социально-культурной сферы, благоу</w:t>
      </w:r>
      <w:r>
        <w:rPr>
          <w:rFonts w:ascii="Times New Roman" w:hAnsi="Times New Roman" w:cs="Times New Roman"/>
          <w:sz w:val="32"/>
          <w:szCs w:val="32"/>
        </w:rPr>
        <w:t>стройство территории поселения, освещение улиц,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</w:t>
      </w:r>
      <w:r>
        <w:rPr>
          <w:rFonts w:ascii="Times New Roman" w:hAnsi="Times New Roman" w:cs="Times New Roman"/>
          <w:sz w:val="32"/>
          <w:szCs w:val="32"/>
        </w:rPr>
        <w:t xml:space="preserve">депутатов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используется официальный</w:t>
      </w:r>
      <w:r>
        <w:rPr>
          <w:rFonts w:ascii="Times New Roman" w:hAnsi="Times New Roman" w:cs="Times New Roman"/>
          <w:sz w:val="32"/>
          <w:szCs w:val="32"/>
        </w:rPr>
        <w:t xml:space="preserve"> сайт администрации МО Хуторской   сельсовет</w:t>
      </w:r>
      <w:r w:rsidRPr="00D82E84">
        <w:rPr>
          <w:rFonts w:ascii="Times New Roman" w:hAnsi="Times New Roman" w:cs="Times New Roman"/>
          <w:sz w:val="32"/>
          <w:szCs w:val="32"/>
        </w:rPr>
        <w:t>, на котором размещаются нормативные документы, регламенты оказываемых муниципальных услуг, бюджет и отчет об его исполнении, а также много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82E84">
        <w:rPr>
          <w:rFonts w:ascii="Times New Roman" w:hAnsi="Times New Roman" w:cs="Times New Roman"/>
          <w:sz w:val="32"/>
          <w:szCs w:val="32"/>
        </w:rPr>
        <w:t xml:space="preserve"> другое.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Совет депутатов - представительный орган  муниципального образования, состоит из 10 депутатов.  Вся деятельность МО сводится к четкой, слаженной работе депутатского корпуса, основной обязанностью которого, согласно регламента, является пр</w:t>
      </w:r>
      <w:r w:rsidR="00520A21">
        <w:rPr>
          <w:rFonts w:ascii="Times New Roman" w:hAnsi="Times New Roman" w:cs="Times New Roman"/>
          <w:sz w:val="32"/>
          <w:szCs w:val="32"/>
        </w:rPr>
        <w:t xml:space="preserve">исутствие на заседаниях. За 2022 </w:t>
      </w:r>
      <w:r>
        <w:rPr>
          <w:rFonts w:ascii="Times New Roman" w:hAnsi="Times New Roman" w:cs="Times New Roman"/>
          <w:sz w:val="32"/>
          <w:szCs w:val="32"/>
        </w:rPr>
        <w:t>г представитель</w:t>
      </w:r>
      <w:r w:rsidR="00520A21">
        <w:rPr>
          <w:rFonts w:ascii="Times New Roman" w:hAnsi="Times New Roman" w:cs="Times New Roman"/>
          <w:sz w:val="32"/>
          <w:szCs w:val="32"/>
        </w:rPr>
        <w:t>ным органом МО было проведено 7 очередных заседаний, принято 21</w:t>
      </w:r>
      <w:r>
        <w:rPr>
          <w:rFonts w:ascii="Times New Roman" w:hAnsi="Times New Roman" w:cs="Times New Roman"/>
          <w:sz w:val="32"/>
          <w:szCs w:val="32"/>
        </w:rPr>
        <w:t xml:space="preserve"> решений.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Основной целью деятельности администрации сельского поселения является повышение уровня и улучшение качества жизни жителям нашего поселения.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</w:t>
      </w:r>
      <w:r>
        <w:rPr>
          <w:rFonts w:ascii="Times New Roman" w:hAnsi="Times New Roman" w:cs="Times New Roman"/>
          <w:sz w:val="32"/>
          <w:szCs w:val="32"/>
        </w:rPr>
        <w:t>учреждений</w:t>
      </w:r>
      <w:r w:rsidRPr="00D82E84">
        <w:rPr>
          <w:rFonts w:ascii="Times New Roman" w:hAnsi="Times New Roman" w:cs="Times New Roman"/>
          <w:sz w:val="32"/>
          <w:szCs w:val="32"/>
        </w:rPr>
        <w:t>, осуществляющих свою деятельность на территории поселения.</w:t>
      </w:r>
      <w:r>
        <w:rPr>
          <w:rFonts w:ascii="Times New Roman" w:hAnsi="Times New Roman" w:cs="Times New Roman"/>
          <w:sz w:val="32"/>
          <w:szCs w:val="32"/>
        </w:rPr>
        <w:t xml:space="preserve"> Основными проблемами, с которыми граждане обращались в администрацию 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вопросы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связаны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с решением бытовых проблем: благоус</w:t>
      </w:r>
      <w:r>
        <w:rPr>
          <w:rFonts w:ascii="Times New Roman" w:hAnsi="Times New Roman" w:cs="Times New Roman"/>
          <w:sz w:val="32"/>
          <w:szCs w:val="32"/>
        </w:rPr>
        <w:t>тройством,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уличного освещения, ремонт дорог,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 принято </w:t>
      </w:r>
      <w:r w:rsidR="003839E7">
        <w:rPr>
          <w:rFonts w:ascii="Times New Roman" w:hAnsi="Times New Roman" w:cs="Times New Roman"/>
          <w:sz w:val="32"/>
          <w:szCs w:val="32"/>
        </w:rPr>
        <w:t>53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постановления </w:t>
      </w:r>
      <w:r w:rsidRPr="00D82E84">
        <w:rPr>
          <w:rFonts w:ascii="Times New Roman" w:hAnsi="Times New Roman" w:cs="Times New Roman"/>
          <w:sz w:val="32"/>
          <w:szCs w:val="32"/>
        </w:rPr>
        <w:t xml:space="preserve">и </w:t>
      </w:r>
      <w:r w:rsidR="003839E7">
        <w:rPr>
          <w:rFonts w:ascii="Times New Roman" w:hAnsi="Times New Roman" w:cs="Times New Roman"/>
          <w:sz w:val="32"/>
          <w:szCs w:val="32"/>
        </w:rPr>
        <w:t>5</w:t>
      </w:r>
      <w:r w:rsidR="007A2B3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распоряжений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</w:t>
      </w:r>
      <w:r w:rsidR="003839E7">
        <w:rPr>
          <w:rFonts w:ascii="Times New Roman" w:hAnsi="Times New Roman" w:cs="Times New Roman"/>
          <w:sz w:val="32"/>
          <w:szCs w:val="32"/>
        </w:rPr>
        <w:t xml:space="preserve"> основной деятельности и 26</w:t>
      </w:r>
      <w:r>
        <w:rPr>
          <w:rFonts w:ascii="Times New Roman" w:hAnsi="Times New Roman" w:cs="Times New Roman"/>
          <w:sz w:val="32"/>
          <w:szCs w:val="32"/>
        </w:rPr>
        <w:t xml:space="preserve"> распоряжение поличному составу.</w:t>
      </w:r>
      <w:r w:rsidRPr="00D82E84">
        <w:rPr>
          <w:rFonts w:ascii="Times New Roman" w:hAnsi="Times New Roman" w:cs="Times New Roman"/>
          <w:sz w:val="32"/>
          <w:szCs w:val="32"/>
        </w:rPr>
        <w:t> </w:t>
      </w:r>
    </w:p>
    <w:p w:rsidR="0085256B" w:rsidRPr="00D82E84" w:rsidRDefault="003839E7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 сп</w:t>
      </w:r>
      <w:r w:rsidR="0085256B">
        <w:rPr>
          <w:rFonts w:ascii="Times New Roman" w:hAnsi="Times New Roman" w:cs="Times New Roman"/>
          <w:sz w:val="32"/>
          <w:szCs w:val="32"/>
        </w:rPr>
        <w:t>ециалистами администрации оказано</w:t>
      </w:r>
      <w:r>
        <w:rPr>
          <w:rFonts w:ascii="Times New Roman" w:hAnsi="Times New Roman" w:cs="Times New Roman"/>
          <w:sz w:val="32"/>
          <w:szCs w:val="32"/>
        </w:rPr>
        <w:t xml:space="preserve"> гражданам 564 (выдано справок 494</w:t>
      </w:r>
      <w:r w:rsidR="0085256B">
        <w:rPr>
          <w:rFonts w:ascii="Times New Roman" w:hAnsi="Times New Roman" w:cs="Times New Roman"/>
          <w:sz w:val="32"/>
          <w:szCs w:val="32"/>
        </w:rPr>
        <w:t xml:space="preserve">, доверенностей </w:t>
      </w:r>
      <w:r>
        <w:rPr>
          <w:rFonts w:ascii="Times New Roman" w:hAnsi="Times New Roman" w:cs="Times New Roman"/>
          <w:sz w:val="32"/>
          <w:szCs w:val="32"/>
        </w:rPr>
        <w:t>-70</w:t>
      </w:r>
      <w:r w:rsidR="0085256B">
        <w:rPr>
          <w:rFonts w:ascii="Times New Roman" w:hAnsi="Times New Roman" w:cs="Times New Roman"/>
          <w:sz w:val="32"/>
          <w:szCs w:val="32"/>
        </w:rPr>
        <w:t xml:space="preserve">) услуг различного характера. Все заявления и обращения граждан, поступившие в адрес администрации рассмотрены в установленные сроки, в том числе с применением выездных </w:t>
      </w:r>
      <w:proofErr w:type="gramStart"/>
      <w:r w:rsidR="0085256B">
        <w:rPr>
          <w:rFonts w:ascii="Times New Roman" w:hAnsi="Times New Roman" w:cs="Times New Roman"/>
          <w:sz w:val="32"/>
          <w:szCs w:val="32"/>
        </w:rPr>
        <w:t>форм</w:t>
      </w:r>
      <w:r w:rsidR="008C2383">
        <w:rPr>
          <w:rFonts w:ascii="Times New Roman" w:hAnsi="Times New Roman" w:cs="Times New Roman"/>
          <w:sz w:val="32"/>
          <w:szCs w:val="32"/>
        </w:rPr>
        <w:t xml:space="preserve">  </w:t>
      </w:r>
      <w:r w:rsidR="0085256B"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 w:rsidR="0085256B">
        <w:rPr>
          <w:rFonts w:ascii="Times New Roman" w:hAnsi="Times New Roman" w:cs="Times New Roman"/>
          <w:sz w:val="32"/>
          <w:szCs w:val="32"/>
        </w:rPr>
        <w:t>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Pr="00D82E84">
        <w:rPr>
          <w:rFonts w:ascii="Times New Roman" w:hAnsi="Times New Roman" w:cs="Times New Roman"/>
          <w:sz w:val="32"/>
          <w:szCs w:val="32"/>
        </w:rPr>
        <w:t>Подводя итоги р</w:t>
      </w:r>
      <w:r>
        <w:rPr>
          <w:rFonts w:ascii="Times New Roman" w:hAnsi="Times New Roman" w:cs="Times New Roman"/>
          <w:sz w:val="32"/>
          <w:szCs w:val="32"/>
        </w:rPr>
        <w:t>аботы администрации Хуторского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="002C3F1E">
        <w:rPr>
          <w:rFonts w:ascii="Times New Roman" w:hAnsi="Times New Roman" w:cs="Times New Roman"/>
          <w:sz w:val="32"/>
          <w:szCs w:val="32"/>
        </w:rPr>
        <w:t>22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год можно отметить, что 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</w:t>
      </w:r>
      <w:r w:rsidRPr="00D82E84">
        <w:rPr>
          <w:rFonts w:ascii="Times New Roman" w:hAnsi="Times New Roman" w:cs="Times New Roman"/>
          <w:sz w:val="32"/>
          <w:szCs w:val="32"/>
        </w:rPr>
        <w:lastRenderedPageBreak/>
        <w:t xml:space="preserve">правообладателях. Также специалистами администрации ведется активная работа по сокращению задолженности по налогам.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>Увеличить уров</w:t>
      </w:r>
      <w:r>
        <w:rPr>
          <w:rFonts w:ascii="Times New Roman" w:hAnsi="Times New Roman" w:cs="Times New Roman"/>
          <w:color w:val="000000"/>
          <w:sz w:val="32"/>
          <w:szCs w:val="32"/>
        </w:rPr>
        <w:t>ень собираемости налогов удается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благодаря тесной работе </w:t>
      </w:r>
      <w:r w:rsidR="008C2383">
        <w:rPr>
          <w:rFonts w:ascii="Times New Roman" w:hAnsi="Times New Roman" w:cs="Times New Roman"/>
          <w:color w:val="000000"/>
          <w:sz w:val="32"/>
          <w:szCs w:val="32"/>
        </w:rPr>
        <w:t>с администрацией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образования  Новосергиевский</w:t>
      </w:r>
      <w:proofErr w:type="gramEnd"/>
      <w:r w:rsidR="008C23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район, налоговой инспекции, а также специалистам администрации поселения, которые в течении  года вели разъяснительную работу с целью укрепления бюджетной и налоговой дисциплины. 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>Эта работа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будет продолжатся и в этом году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. Администрация поселения очень принципиально и конкретно подходит к анализу задолженности по налогам каждого жителя п</w:t>
      </w:r>
      <w:r>
        <w:rPr>
          <w:rFonts w:ascii="Times New Roman" w:hAnsi="Times New Roman" w:cs="Times New Roman"/>
          <w:color w:val="000000"/>
          <w:sz w:val="32"/>
          <w:szCs w:val="32"/>
        </w:rPr>
        <w:t>оселения, 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именно поэтому налогоплательщик  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латить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налоги  не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дожидаясь появления пени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за просроченный платеж, </w:t>
      </w:r>
      <w:r>
        <w:rPr>
          <w:rFonts w:ascii="Times New Roman" w:hAnsi="Times New Roman" w:cs="Times New Roman"/>
          <w:color w:val="000000"/>
          <w:sz w:val="32"/>
          <w:szCs w:val="32"/>
        </w:rPr>
        <w:t>и тем более судебных приставов.</w:t>
      </w:r>
    </w:p>
    <w:p w:rsidR="00DA7E2A" w:rsidRPr="0022621C" w:rsidRDefault="00DA7E2A" w:rsidP="00DA7E2A">
      <w:pPr>
        <w:pStyle w:val="a9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21C">
        <w:rPr>
          <w:rFonts w:ascii="Times New Roman" w:hAnsi="Times New Roman" w:cs="Times New Roman"/>
          <w:b/>
          <w:sz w:val="32"/>
          <w:szCs w:val="32"/>
        </w:rPr>
        <w:t>За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год в бюджет МО Хуторского сельсовета поступило </w:t>
      </w:r>
      <w:r>
        <w:rPr>
          <w:rFonts w:ascii="Times New Roman" w:hAnsi="Times New Roman" w:cs="Times New Roman"/>
          <w:b/>
          <w:sz w:val="32"/>
          <w:szCs w:val="32"/>
        </w:rPr>
        <w:t xml:space="preserve">11 351 425,18 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руб., из них  </w:t>
      </w: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50"/>
        <w:gridCol w:w="1652"/>
        <w:gridCol w:w="1422"/>
      </w:tblGrid>
      <w:tr w:rsidR="00DA7E2A" w:rsidRPr="00836894" w:rsidTr="00267832">
        <w:trPr>
          <w:trHeight w:val="792"/>
        </w:trPr>
        <w:tc>
          <w:tcPr>
            <w:tcW w:w="5670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Процент исполнения бюджета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11 196 000,00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11 351 425,18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101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641 100,00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997 684,33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156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735 300,00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847 720,96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115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568 700,00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522 385,11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92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74 000,00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76 409,05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103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208 000,00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101 702,18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49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735 000,00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773 487,04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105</w:t>
            </w:r>
          </w:p>
        </w:tc>
      </w:tr>
      <w:tr w:rsidR="00DA7E2A" w:rsidRPr="00836894" w:rsidTr="00267832">
        <w:trPr>
          <w:trHeight w:val="67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6 060,00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 </w:t>
            </w:r>
          </w:p>
        </w:tc>
      </w:tr>
      <w:tr w:rsidR="00DA7E2A" w:rsidRPr="00836894" w:rsidTr="00267832">
        <w:trPr>
          <w:trHeight w:val="67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210 600,00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237 806,13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113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1 225 000,00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1 003 659,38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82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r w:rsidRPr="00836894">
              <w:rPr>
                <w:color w:val="000000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lastRenderedPageBreak/>
              <w:t>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 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6 074 900,00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6 074 900,00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100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154 700,00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154 700,00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100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57 700,00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57 700,00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100</w:t>
            </w:r>
          </w:p>
        </w:tc>
      </w:tr>
      <w:tr w:rsidR="00DA7E2A" w:rsidRPr="00836894" w:rsidTr="00267832">
        <w:trPr>
          <w:trHeight w:val="90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400 000,00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385 211,00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96</w:t>
            </w:r>
          </w:p>
        </w:tc>
      </w:tr>
      <w:tr w:rsidR="00DA7E2A" w:rsidRPr="00836894" w:rsidTr="00267832">
        <w:trPr>
          <w:trHeight w:val="46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111 000,00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111 000,00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100</w:t>
            </w:r>
          </w:p>
        </w:tc>
      </w:tr>
    </w:tbl>
    <w:p w:rsidR="00DA7E2A" w:rsidRPr="0022621C" w:rsidRDefault="00DA7E2A" w:rsidP="00DA7E2A">
      <w:pPr>
        <w:pStyle w:val="a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7E2A" w:rsidRPr="0022621C" w:rsidRDefault="00DA7E2A" w:rsidP="00DA7E2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21C">
        <w:rPr>
          <w:rFonts w:ascii="Times New Roman" w:hAnsi="Times New Roman" w:cs="Times New Roman"/>
          <w:b/>
          <w:sz w:val="32"/>
          <w:szCs w:val="32"/>
        </w:rPr>
        <w:t>По итогам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года расходы составили </w:t>
      </w:r>
      <w:r>
        <w:rPr>
          <w:rFonts w:ascii="Times New Roman" w:hAnsi="Times New Roman" w:cs="Times New Roman"/>
          <w:b/>
          <w:sz w:val="32"/>
          <w:szCs w:val="32"/>
        </w:rPr>
        <w:t>10 985 031,86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рублей.</w:t>
      </w: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1750"/>
        <w:gridCol w:w="1696"/>
        <w:gridCol w:w="1422"/>
      </w:tblGrid>
      <w:tr w:rsidR="00DA7E2A" w:rsidRPr="00836894" w:rsidTr="00267832">
        <w:trPr>
          <w:trHeight w:val="792"/>
        </w:trPr>
        <w:tc>
          <w:tcPr>
            <w:tcW w:w="5670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A7E2A" w:rsidRPr="00836894" w:rsidRDefault="00DA7E2A" w:rsidP="00267832">
            <w:pPr>
              <w:jc w:val="center"/>
              <w:rPr>
                <w:color w:val="000000"/>
              </w:rPr>
            </w:pPr>
            <w:r w:rsidRPr="00836894">
              <w:rPr>
                <w:color w:val="000000"/>
              </w:rPr>
              <w:t>Процент исполнения бюджета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Расходы бюджета - всего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11 634 327,58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10 985 031,86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649 295,72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841 422,00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841 406,91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15,09</w:t>
            </w:r>
          </w:p>
        </w:tc>
      </w:tr>
      <w:tr w:rsidR="00DA7E2A" w:rsidRPr="00836894" w:rsidTr="00267832">
        <w:trPr>
          <w:trHeight w:val="67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1 476 837,00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1 472 258,38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4 578,62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67 100,00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67 100,00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0,00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602 200,00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601 502,50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697,50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111 000,00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0,00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490 000,00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475 629,73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14 370,27</w:t>
            </w:r>
          </w:p>
        </w:tc>
      </w:tr>
      <w:tr w:rsidR="00DA7E2A" w:rsidRPr="00836894" w:rsidTr="00267832">
        <w:trPr>
          <w:trHeight w:val="450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1 800,00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2 432 777,58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1 890 898,13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541 879,45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0,00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1 349 000,00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1 304 445,35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44 554,65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1 010 191,00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1 007 409,54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2 781,46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0,00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3 151 200,00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3 130 901,47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20 298,53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30 900,00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29 379,85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1 520,15</w:t>
            </w:r>
          </w:p>
        </w:tc>
      </w:tr>
      <w:tr w:rsidR="00DA7E2A" w:rsidRPr="00836894" w:rsidTr="00267832">
        <w:trPr>
          <w:trHeight w:val="255"/>
        </w:trPr>
        <w:tc>
          <w:tcPr>
            <w:tcW w:w="5670" w:type="dxa"/>
            <w:shd w:val="clear" w:color="auto" w:fill="auto"/>
            <w:hideMark/>
          </w:tcPr>
          <w:p w:rsidR="00DA7E2A" w:rsidRPr="00836894" w:rsidRDefault="00DA7E2A" w:rsidP="00267832">
            <w:pPr>
              <w:rPr>
                <w:color w:val="000000"/>
              </w:rPr>
            </w:pPr>
            <w:r w:rsidRPr="00836894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DA7E2A" w:rsidRPr="00836894" w:rsidRDefault="00DA7E2A" w:rsidP="00267832">
            <w:pPr>
              <w:jc w:val="right"/>
              <w:rPr>
                <w:color w:val="000000"/>
              </w:rPr>
            </w:pPr>
            <w:r w:rsidRPr="00836894">
              <w:rPr>
                <w:color w:val="000000"/>
              </w:rPr>
              <w:t>16 800,00</w:t>
            </w:r>
          </w:p>
        </w:tc>
      </w:tr>
    </w:tbl>
    <w:p w:rsidR="00DA7E2A" w:rsidRDefault="00DA7E2A" w:rsidP="00DA7E2A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7E2A" w:rsidRPr="00D82E84" w:rsidRDefault="00DA7E2A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6B" w:rsidRPr="00526ACF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ACF">
        <w:rPr>
          <w:rFonts w:ascii="Times New Roman" w:hAnsi="Times New Roman" w:cs="Times New Roman"/>
          <w:sz w:val="32"/>
          <w:szCs w:val="32"/>
        </w:rPr>
        <w:t xml:space="preserve">Решение вопросов по благоустройству на территории </w:t>
      </w:r>
      <w:proofErr w:type="gramStart"/>
      <w:r w:rsidRPr="00526ACF">
        <w:rPr>
          <w:rFonts w:ascii="Times New Roman" w:hAnsi="Times New Roman" w:cs="Times New Roman"/>
          <w:sz w:val="32"/>
          <w:szCs w:val="32"/>
        </w:rPr>
        <w:t>должно  решаться</w:t>
      </w:r>
      <w:proofErr w:type="gramEnd"/>
      <w:r w:rsidRPr="00526ACF">
        <w:rPr>
          <w:rFonts w:ascii="Times New Roman" w:hAnsi="Times New Roman" w:cs="Times New Roman"/>
          <w:sz w:val="32"/>
          <w:szCs w:val="32"/>
        </w:rPr>
        <w:t xml:space="preserve">  в двух направлениях: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— за счёт финансирования работ и мероприятий из местного бюджета,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— через привлечение общественности, активизации инициатив жителей /хозяйствующих субъектов.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На содержании администрации поселения находится  </w:t>
      </w:r>
      <w:r>
        <w:rPr>
          <w:rFonts w:ascii="Times New Roman" w:hAnsi="Times New Roman" w:cs="Times New Roman"/>
          <w:sz w:val="32"/>
          <w:szCs w:val="32"/>
        </w:rPr>
        <w:t xml:space="preserve"> 13420</w:t>
      </w:r>
      <w:r w:rsidR="00F6333E"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 xml:space="preserve"> </w:t>
      </w:r>
      <w:r w:rsidR="00F6333E">
        <w:rPr>
          <w:rFonts w:ascii="Times New Roman" w:hAnsi="Times New Roman" w:cs="Times New Roman"/>
          <w:sz w:val="32"/>
          <w:szCs w:val="32"/>
        </w:rPr>
        <w:t>м</w:t>
      </w:r>
      <w:r w:rsidR="002C3F1E">
        <w:rPr>
          <w:rFonts w:ascii="Times New Roman" w:hAnsi="Times New Roman" w:cs="Times New Roman"/>
          <w:sz w:val="32"/>
          <w:szCs w:val="32"/>
        </w:rPr>
        <w:t>етров</w:t>
      </w:r>
      <w:bookmarkStart w:id="0" w:name="_GoBack"/>
      <w:bookmarkEnd w:id="0"/>
      <w:r w:rsidR="00F6333E"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>автодорог.  В отчетн</w:t>
      </w:r>
      <w:r>
        <w:rPr>
          <w:rFonts w:ascii="Times New Roman" w:hAnsi="Times New Roman" w:cs="Times New Roman"/>
          <w:sz w:val="32"/>
          <w:szCs w:val="32"/>
        </w:rPr>
        <w:t>ом году проводились работы по очистке от снега и градирование</w:t>
      </w:r>
      <w:r w:rsidRPr="00D82E84">
        <w:rPr>
          <w:rFonts w:ascii="Times New Roman" w:hAnsi="Times New Roman" w:cs="Times New Roman"/>
          <w:sz w:val="32"/>
          <w:szCs w:val="32"/>
        </w:rPr>
        <w:t xml:space="preserve">   автомобильных дорог общего пользо</w:t>
      </w:r>
      <w:r>
        <w:rPr>
          <w:rFonts w:ascii="Times New Roman" w:hAnsi="Times New Roman" w:cs="Times New Roman"/>
          <w:sz w:val="32"/>
          <w:szCs w:val="32"/>
        </w:rPr>
        <w:t>вания.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F6333E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2022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года </w:t>
      </w:r>
      <w:r w:rsidR="0085256B">
        <w:rPr>
          <w:rFonts w:ascii="Times New Roman" w:hAnsi="Times New Roman" w:cs="Times New Roman"/>
          <w:sz w:val="32"/>
          <w:szCs w:val="32"/>
        </w:rPr>
        <w:t>проводились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р</w:t>
      </w:r>
      <w:r w:rsidR="0085256B">
        <w:rPr>
          <w:rFonts w:ascii="Times New Roman" w:hAnsi="Times New Roman" w:cs="Times New Roman"/>
          <w:sz w:val="32"/>
          <w:szCs w:val="32"/>
        </w:rPr>
        <w:t>аботы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по </w:t>
      </w:r>
      <w:r w:rsidR="0085256B">
        <w:rPr>
          <w:rFonts w:ascii="Times New Roman" w:hAnsi="Times New Roman" w:cs="Times New Roman"/>
          <w:sz w:val="32"/>
          <w:szCs w:val="32"/>
        </w:rPr>
        <w:t xml:space="preserve">скашиванию сорной растительности на территории населенных пунктов, так и </w:t>
      </w:r>
      <w:r w:rsidR="0085256B" w:rsidRPr="00D82E84">
        <w:rPr>
          <w:rFonts w:ascii="Times New Roman" w:hAnsi="Times New Roman" w:cs="Times New Roman"/>
          <w:sz w:val="32"/>
          <w:szCs w:val="32"/>
        </w:rPr>
        <w:t>вдоль дорог, вывоз веток,</w:t>
      </w:r>
      <w:r w:rsidR="0085256B">
        <w:rPr>
          <w:rFonts w:ascii="Times New Roman" w:hAnsi="Times New Roman" w:cs="Times New Roman"/>
          <w:sz w:val="32"/>
          <w:szCs w:val="32"/>
        </w:rPr>
        <w:t xml:space="preserve"> опашка сел, сбор мусора с подворий,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уб</w:t>
      </w:r>
      <w:r w:rsidR="0085256B">
        <w:rPr>
          <w:rFonts w:ascii="Times New Roman" w:hAnsi="Times New Roman" w:cs="Times New Roman"/>
          <w:sz w:val="32"/>
          <w:szCs w:val="32"/>
        </w:rPr>
        <w:t>орка несанкционированных свалок, тушение пожаров.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Продолжая  разговор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о благоустройстве территории сельского поселения за отчетный период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хочется сказать большое спасибо нашим жителям, которые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уже много лет поддерживают чистоту и порядок на своих подведомственных территориях, хотя в этом году в связи с эпидемиологической обстановкой на территории это было немного сложнее.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 Любой человек, приезжающий в сельское поселение, прежде всего, обращает внимание на чистоту и порядок, состояние дорог, освеще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ние и общий архитектурный вид,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</w:t>
      </w:r>
      <w:r>
        <w:rPr>
          <w:rFonts w:ascii="Times New Roman" w:hAnsi="Times New Roman" w:cs="Times New Roman"/>
          <w:color w:val="000000"/>
          <w:sz w:val="32"/>
          <w:szCs w:val="32"/>
        </w:rPr>
        <w:t>жны и продолжают плодить мусор, выгонять домашний скот, содержать собак не на привязи.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011C">
        <w:rPr>
          <w:rFonts w:ascii="Times New Roman" w:hAnsi="Times New Roman" w:cs="Times New Roman"/>
          <w:sz w:val="32"/>
          <w:szCs w:val="32"/>
        </w:rPr>
        <w:t>Численность населения нашего поселения по состоянию на</w:t>
      </w:r>
      <w:r w:rsidR="003839E7">
        <w:rPr>
          <w:rFonts w:ascii="Times New Roman" w:hAnsi="Times New Roman" w:cs="Times New Roman"/>
          <w:sz w:val="32"/>
          <w:szCs w:val="32"/>
        </w:rPr>
        <w:t xml:space="preserve"> 01.01.2022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</w:t>
      </w:r>
      <w:r w:rsidR="003839E7">
        <w:rPr>
          <w:rFonts w:ascii="Times New Roman" w:hAnsi="Times New Roman" w:cs="Times New Roman"/>
          <w:sz w:val="32"/>
          <w:szCs w:val="32"/>
        </w:rPr>
        <w:t>оставила 1511</w:t>
      </w:r>
      <w:r>
        <w:rPr>
          <w:rFonts w:ascii="Times New Roman" w:hAnsi="Times New Roman" w:cs="Times New Roman"/>
          <w:sz w:val="32"/>
          <w:szCs w:val="32"/>
        </w:rPr>
        <w:t xml:space="preserve"> человека.</w:t>
      </w:r>
    </w:p>
    <w:p w:rsidR="00F6333E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35011C">
        <w:rPr>
          <w:rFonts w:ascii="Times New Roman" w:hAnsi="Times New Roman" w:cs="Times New Roman"/>
          <w:sz w:val="32"/>
          <w:szCs w:val="32"/>
        </w:rPr>
        <w:t>Администрацией поселения ведется исполнение отдельных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государственных полномочий в части ведения воинского учета в соответствии с требованиями закона РФ «О воинской обязанности и военн</w:t>
      </w:r>
      <w:r w:rsidR="00640D0E">
        <w:rPr>
          <w:rFonts w:ascii="Times New Roman" w:hAnsi="Times New Roman" w:cs="Times New Roman"/>
          <w:sz w:val="32"/>
          <w:szCs w:val="32"/>
        </w:rPr>
        <w:t>ой службе». Всего на первичном </w:t>
      </w:r>
      <w:r w:rsidRPr="00D82E84">
        <w:rPr>
          <w:rFonts w:ascii="Times New Roman" w:hAnsi="Times New Roman" w:cs="Times New Roman"/>
          <w:sz w:val="32"/>
          <w:szCs w:val="32"/>
        </w:rPr>
        <w:t xml:space="preserve">воинском учете в сельском поселении состоит военнообязанных </w:t>
      </w:r>
      <w:r w:rsidR="003839E7">
        <w:rPr>
          <w:rFonts w:ascii="Times New Roman" w:hAnsi="Times New Roman" w:cs="Times New Roman"/>
          <w:sz w:val="32"/>
          <w:szCs w:val="32"/>
        </w:rPr>
        <w:t xml:space="preserve">323 </w:t>
      </w:r>
      <w:r w:rsidRPr="00D82E84">
        <w:rPr>
          <w:rFonts w:ascii="Times New Roman" w:hAnsi="Times New Roman" w:cs="Times New Roman"/>
          <w:sz w:val="32"/>
          <w:szCs w:val="32"/>
        </w:rPr>
        <w:t>человек</w:t>
      </w:r>
      <w:r w:rsidR="003839E7">
        <w:rPr>
          <w:rFonts w:ascii="Times New Roman" w:hAnsi="Times New Roman" w:cs="Times New Roman"/>
          <w:sz w:val="32"/>
          <w:szCs w:val="32"/>
        </w:rPr>
        <w:t>а</w:t>
      </w:r>
      <w:r w:rsidRPr="00D82E84">
        <w:rPr>
          <w:rFonts w:ascii="Times New Roman" w:hAnsi="Times New Roman" w:cs="Times New Roman"/>
          <w:sz w:val="32"/>
          <w:szCs w:val="32"/>
        </w:rPr>
        <w:t xml:space="preserve">, в том числе </w:t>
      </w:r>
      <w:proofErr w:type="gramStart"/>
      <w:r w:rsidRPr="00D82E84">
        <w:rPr>
          <w:rFonts w:ascii="Times New Roman" w:hAnsi="Times New Roman" w:cs="Times New Roman"/>
          <w:sz w:val="32"/>
          <w:szCs w:val="32"/>
        </w:rPr>
        <w:lastRenderedPageBreak/>
        <w:t>гра</w:t>
      </w:r>
      <w:r w:rsidR="003839E7">
        <w:rPr>
          <w:rFonts w:ascii="Times New Roman" w:hAnsi="Times New Roman" w:cs="Times New Roman"/>
          <w:sz w:val="32"/>
          <w:szCs w:val="32"/>
        </w:rPr>
        <w:t>ждан</w:t>
      </w:r>
      <w:proofErr w:type="gramEnd"/>
      <w:r w:rsidR="003839E7">
        <w:rPr>
          <w:rFonts w:ascii="Times New Roman" w:hAnsi="Times New Roman" w:cs="Times New Roman"/>
          <w:sz w:val="32"/>
          <w:szCs w:val="32"/>
        </w:rPr>
        <w:t xml:space="preserve"> пребывающих в запасе – 285</w:t>
      </w:r>
      <w:r w:rsidR="00155F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человек, </w:t>
      </w:r>
      <w:r w:rsidR="003839E7">
        <w:rPr>
          <w:rFonts w:ascii="Times New Roman" w:hAnsi="Times New Roman" w:cs="Times New Roman"/>
          <w:sz w:val="32"/>
          <w:szCs w:val="32"/>
        </w:rPr>
        <w:t>призывников – 3</w:t>
      </w:r>
      <w:r w:rsidR="00F6333E">
        <w:rPr>
          <w:rFonts w:ascii="Times New Roman" w:hAnsi="Times New Roman" w:cs="Times New Roman"/>
          <w:sz w:val="32"/>
          <w:szCs w:val="32"/>
        </w:rPr>
        <w:t>8чел., мобилизованы – 6 чел.</w:t>
      </w:r>
    </w:p>
    <w:p w:rsidR="0085256B" w:rsidRPr="0035011C" w:rsidRDefault="00155FC9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839E7">
        <w:rPr>
          <w:rFonts w:ascii="Times New Roman" w:hAnsi="Times New Roman" w:cs="Times New Roman"/>
          <w:sz w:val="32"/>
          <w:szCs w:val="32"/>
        </w:rPr>
        <w:t>2022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начало </w:t>
      </w:r>
      <w:r w:rsidR="001767FB">
        <w:rPr>
          <w:rFonts w:ascii="Times New Roman" w:hAnsi="Times New Roman" w:cs="Times New Roman"/>
          <w:color w:val="000000"/>
          <w:sz w:val="32"/>
          <w:szCs w:val="32"/>
        </w:rPr>
        <w:t xml:space="preserve"> 2022</w:t>
      </w:r>
      <w:proofErr w:type="gramEnd"/>
      <w:r w:rsidR="001767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hAnsi="Times New Roman" w:cs="Times New Roman"/>
          <w:color w:val="000000"/>
          <w:sz w:val="32"/>
          <w:szCs w:val="32"/>
        </w:rPr>
        <w:t>ода,  в личных   хозяйствах  жителей</w:t>
      </w:r>
    </w:p>
    <w:p w:rsidR="0085256B" w:rsidRPr="008F5458" w:rsidRDefault="005F3B57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содержится КРС-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1767FB">
        <w:rPr>
          <w:rFonts w:ascii="Times New Roman" w:hAnsi="Times New Roman" w:cs="Times New Roman"/>
          <w:color w:val="000000"/>
          <w:sz w:val="32"/>
          <w:szCs w:val="32"/>
        </w:rPr>
        <w:t>07голов. свиней – 320гол. коз-42 овец-402</w:t>
      </w:r>
      <w:r w:rsidR="0085256B" w:rsidRPr="00D82E84">
        <w:rPr>
          <w:rFonts w:ascii="Times New Roman" w:hAnsi="Times New Roman" w:cs="Times New Roman"/>
          <w:color w:val="000000"/>
          <w:sz w:val="32"/>
          <w:szCs w:val="32"/>
        </w:rPr>
        <w:t>гол., </w:t>
      </w:r>
      <w:r w:rsidR="001767FB">
        <w:rPr>
          <w:rFonts w:ascii="Times New Roman" w:hAnsi="Times New Roman" w:cs="Times New Roman"/>
          <w:color w:val="000000"/>
          <w:sz w:val="32"/>
          <w:szCs w:val="32"/>
        </w:rPr>
        <w:t>лошади-10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 xml:space="preserve">гол., </w:t>
      </w:r>
      <w:r w:rsidR="0085256B"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птица всех видов – </w:t>
      </w:r>
      <w:r w:rsidR="001767FB">
        <w:rPr>
          <w:rFonts w:ascii="Times New Roman" w:hAnsi="Times New Roman" w:cs="Times New Roman"/>
          <w:color w:val="000000"/>
          <w:sz w:val="32"/>
          <w:szCs w:val="32"/>
        </w:rPr>
        <w:t>630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>гол.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сельсовета находятся 7 объектов розничной торговли, принадлежащих индивидуальным предпринимателям, которые в полном объеме обеспечивают жителей МО товарами первой необходимости.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постоянной, основе при администрации МО Хуторского сельсовета действует межведомственная комиссия по профилактики преступлений, в состав которой </w:t>
      </w:r>
      <w:r>
        <w:rPr>
          <w:rFonts w:ascii="Times New Roman" w:hAnsi="Times New Roman" w:cs="Times New Roman"/>
          <w:color w:val="00000A"/>
          <w:sz w:val="32"/>
          <w:szCs w:val="32"/>
        </w:rPr>
        <w:t>включен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участковы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й 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>уполномоченны</w:t>
      </w:r>
      <w:r>
        <w:rPr>
          <w:rFonts w:ascii="Times New Roman" w:hAnsi="Times New Roman" w:cs="Times New Roman"/>
          <w:color w:val="00000A"/>
          <w:sz w:val="32"/>
          <w:szCs w:val="32"/>
        </w:rPr>
        <w:t>й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пол</w:t>
      </w:r>
      <w:r>
        <w:rPr>
          <w:rFonts w:ascii="Times New Roman" w:hAnsi="Times New Roman" w:cs="Times New Roman"/>
          <w:color w:val="00000A"/>
          <w:sz w:val="32"/>
          <w:szCs w:val="32"/>
        </w:rPr>
        <w:t>иции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A"/>
          <w:sz w:val="32"/>
          <w:szCs w:val="32"/>
        </w:rPr>
        <w:t>заведующая по воспитательной части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общеобразовател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ьных учреждений, депутаты, специалисты. 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Комиссия по делам несовершеннолетних</w:t>
      </w:r>
    </w:p>
    <w:p w:rsidR="0085256B" w:rsidRDefault="00640D0E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В 2022</w:t>
      </w:r>
      <w:r w:rsidR="0085256B">
        <w:rPr>
          <w:rFonts w:ascii="Times New Roman" w:hAnsi="Times New Roman" w:cs="Times New Roman"/>
          <w:color w:val="00000A"/>
          <w:sz w:val="32"/>
          <w:szCs w:val="32"/>
        </w:rPr>
        <w:t>г проводились совм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естные рейды с соц. Защитой и </w:t>
      </w:r>
      <w:r w:rsidR="0085256B">
        <w:rPr>
          <w:rFonts w:ascii="Times New Roman" w:hAnsi="Times New Roman" w:cs="Times New Roman"/>
          <w:color w:val="00000A"/>
          <w:sz w:val="32"/>
          <w:szCs w:val="32"/>
        </w:rPr>
        <w:t xml:space="preserve">школой по </w:t>
      </w:r>
      <w:r w:rsidR="005F3B57">
        <w:rPr>
          <w:rFonts w:ascii="Times New Roman" w:hAnsi="Times New Roman" w:cs="Times New Roman"/>
          <w:color w:val="00000A"/>
          <w:sz w:val="32"/>
          <w:szCs w:val="32"/>
        </w:rPr>
        <w:t>семьям находящим</w:t>
      </w:r>
      <w:r w:rsidR="0085256B">
        <w:rPr>
          <w:rFonts w:ascii="Times New Roman" w:hAnsi="Times New Roman" w:cs="Times New Roman"/>
          <w:color w:val="00000A"/>
          <w:sz w:val="32"/>
          <w:szCs w:val="32"/>
        </w:rPr>
        <w:t>ся на особом контроле.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На территории МО Хуторской сельсовет</w:t>
      </w:r>
      <w:r w:rsidRPr="00D82E84">
        <w:rPr>
          <w:rFonts w:ascii="Times New Roman" w:hAnsi="Times New Roman" w:cs="Times New Roman"/>
          <w:sz w:val="32"/>
          <w:szCs w:val="32"/>
        </w:rPr>
        <w:t xml:space="preserve"> охрану общественного порядка осуществляет народная дружина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5F3B57"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>в</w:t>
      </w:r>
      <w:r w:rsidR="001767FB">
        <w:rPr>
          <w:rFonts w:ascii="Times New Roman" w:hAnsi="Times New Roman" w:cs="Times New Roman"/>
          <w:sz w:val="32"/>
          <w:szCs w:val="32"/>
        </w:rPr>
        <w:t xml:space="preserve"> отряд народной дружины входят 3</w:t>
      </w:r>
      <w:r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85256B" w:rsidRPr="00D82E84" w:rsidRDefault="001767F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85256B">
        <w:rPr>
          <w:rFonts w:ascii="Times New Roman" w:hAnsi="Times New Roman" w:cs="Times New Roman"/>
          <w:sz w:val="32"/>
          <w:szCs w:val="32"/>
        </w:rPr>
        <w:t xml:space="preserve"> г. 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совместно с органами внутренних дел, администрацией сельского поселения </w:t>
      </w:r>
      <w:r w:rsidR="0085256B">
        <w:rPr>
          <w:rFonts w:ascii="Times New Roman" w:hAnsi="Times New Roman" w:cs="Times New Roman"/>
          <w:sz w:val="32"/>
          <w:szCs w:val="32"/>
        </w:rPr>
        <w:t xml:space="preserve">проводилась такая работа </w:t>
      </w:r>
      <w:r w:rsidR="00F0787D">
        <w:rPr>
          <w:rFonts w:ascii="Times New Roman" w:hAnsi="Times New Roman" w:cs="Times New Roman"/>
          <w:sz w:val="32"/>
          <w:szCs w:val="32"/>
        </w:rPr>
        <w:t xml:space="preserve">  как патрулирование, дежурства, </w:t>
      </w:r>
      <w:r w:rsidR="00640D0E">
        <w:rPr>
          <w:rFonts w:ascii="Times New Roman" w:hAnsi="Times New Roman" w:cs="Times New Roman"/>
          <w:sz w:val="32"/>
          <w:szCs w:val="32"/>
        </w:rPr>
        <w:t xml:space="preserve">обходы 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проблемных территорий, </w:t>
      </w:r>
      <w:proofErr w:type="gramStart"/>
      <w:r w:rsidR="0085256B" w:rsidRPr="00D82E84">
        <w:rPr>
          <w:rFonts w:ascii="Times New Roman" w:hAnsi="Times New Roman" w:cs="Times New Roman"/>
          <w:sz w:val="32"/>
          <w:szCs w:val="32"/>
        </w:rPr>
        <w:t>иных  правонарушений</w:t>
      </w:r>
      <w:proofErr w:type="gramEnd"/>
      <w:r w:rsidR="0085256B" w:rsidRPr="00D82E84">
        <w:rPr>
          <w:rFonts w:ascii="Times New Roman" w:hAnsi="Times New Roman" w:cs="Times New Roman"/>
          <w:sz w:val="32"/>
          <w:szCs w:val="32"/>
        </w:rPr>
        <w:t xml:space="preserve">  нелегальная продажа  спиртных напитков</w:t>
      </w:r>
      <w:r w:rsidR="00F0787D">
        <w:rPr>
          <w:rFonts w:ascii="Times New Roman" w:hAnsi="Times New Roman" w:cs="Times New Roman"/>
          <w:sz w:val="32"/>
          <w:szCs w:val="32"/>
        </w:rPr>
        <w:t>,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проведение разъяснительной  работы по профилактике</w:t>
      </w:r>
      <w:r w:rsidR="0085256B">
        <w:rPr>
          <w:rFonts w:ascii="Times New Roman" w:hAnsi="Times New Roman" w:cs="Times New Roman"/>
          <w:sz w:val="32"/>
          <w:szCs w:val="32"/>
        </w:rPr>
        <w:t xml:space="preserve"> распространения коронавирусной инфекции среди населения.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Финансирование</w:t>
      </w:r>
      <w:r w:rsidR="00F0787D">
        <w:rPr>
          <w:rFonts w:ascii="Times New Roman" w:hAnsi="Times New Roman" w:cs="Times New Roman"/>
          <w:sz w:val="32"/>
          <w:szCs w:val="32"/>
        </w:rPr>
        <w:t xml:space="preserve"> деятельности народной дружины </w:t>
      </w:r>
      <w:r w:rsidR="0085256B" w:rsidRPr="00D82E84">
        <w:rPr>
          <w:rFonts w:ascii="Times New Roman" w:hAnsi="Times New Roman" w:cs="Times New Roman"/>
          <w:sz w:val="32"/>
          <w:szCs w:val="32"/>
        </w:rPr>
        <w:t>осущ</w:t>
      </w:r>
      <w:r w:rsidR="00F0787D">
        <w:rPr>
          <w:rFonts w:ascii="Times New Roman" w:hAnsi="Times New Roman" w:cs="Times New Roman"/>
          <w:sz w:val="32"/>
          <w:szCs w:val="32"/>
        </w:rPr>
        <w:t>ествляется из бюджета поселения</w:t>
      </w:r>
      <w:r w:rsidR="0085256B">
        <w:rPr>
          <w:rFonts w:ascii="Times New Roman" w:hAnsi="Times New Roman" w:cs="Times New Roman"/>
          <w:sz w:val="32"/>
          <w:szCs w:val="32"/>
        </w:rPr>
        <w:t>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Работу по организации досуговой деятельности и сохранению народных традиций в поселении о</w:t>
      </w:r>
      <w:r>
        <w:rPr>
          <w:rFonts w:ascii="Times New Roman" w:hAnsi="Times New Roman" w:cs="Times New Roman"/>
          <w:sz w:val="32"/>
          <w:szCs w:val="32"/>
        </w:rPr>
        <w:t>существляют 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коллективы  Хуторского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Сузановского домов культуры. </w:t>
      </w:r>
      <w:r w:rsidRPr="003D5944">
        <w:rPr>
          <w:rFonts w:ascii="Times New Roman" w:hAnsi="Times New Roman" w:cs="Times New Roman"/>
          <w:sz w:val="32"/>
          <w:szCs w:val="32"/>
        </w:rPr>
        <w:t xml:space="preserve">Деятельность учреждений культуры неразрывно связана с календарными праздниками, и каждый новый год начинается активной работой </w:t>
      </w:r>
      <w:r w:rsidR="00433208">
        <w:rPr>
          <w:rFonts w:ascii="Times New Roman" w:hAnsi="Times New Roman" w:cs="Times New Roman"/>
          <w:sz w:val="32"/>
          <w:szCs w:val="32"/>
        </w:rPr>
        <w:t xml:space="preserve">по организации досуга населения. </w:t>
      </w:r>
      <w:r>
        <w:rPr>
          <w:rFonts w:ascii="Times New Roman" w:hAnsi="Times New Roman" w:cs="Times New Roman"/>
          <w:sz w:val="32"/>
          <w:szCs w:val="32"/>
        </w:rPr>
        <w:t xml:space="preserve">С этой задачей они справились на отлично. 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4E9">
        <w:rPr>
          <w:rFonts w:ascii="Times New Roman" w:hAnsi="Times New Roman" w:cs="Times New Roman"/>
          <w:sz w:val="32"/>
          <w:szCs w:val="32"/>
        </w:rPr>
        <w:lastRenderedPageBreak/>
        <w:t>Сегодня, а</w:t>
      </w:r>
      <w:r>
        <w:rPr>
          <w:rFonts w:ascii="Times New Roman" w:hAnsi="Times New Roman" w:cs="Times New Roman"/>
          <w:sz w:val="32"/>
          <w:szCs w:val="32"/>
        </w:rPr>
        <w:t xml:space="preserve">нализируя итоги ушедшего года, </w:t>
      </w:r>
      <w:r w:rsidRPr="003E24E9">
        <w:rPr>
          <w:rFonts w:ascii="Times New Roman" w:hAnsi="Times New Roman" w:cs="Times New Roman"/>
          <w:sz w:val="32"/>
          <w:szCs w:val="32"/>
        </w:rPr>
        <w:t>не скрою, не всё из того, что планировалось, удалось сделать. Однако не</w:t>
      </w:r>
      <w:r w:rsidR="001767FB">
        <w:rPr>
          <w:rFonts w:ascii="Times New Roman" w:hAnsi="Times New Roman" w:cs="Times New Roman"/>
          <w:sz w:val="32"/>
          <w:szCs w:val="32"/>
        </w:rPr>
        <w:t>льзя отрицать и того, что в 2022</w:t>
      </w:r>
      <w:r w:rsidRPr="003E24E9">
        <w:rPr>
          <w:rFonts w:ascii="Times New Roman" w:hAnsi="Times New Roman" w:cs="Times New Roman"/>
          <w:sz w:val="32"/>
          <w:szCs w:val="32"/>
        </w:rPr>
        <w:t xml:space="preserve"> году немало сделано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Организация благоустройства территории поселения является одним из основных полн</w:t>
      </w:r>
      <w:r>
        <w:rPr>
          <w:rFonts w:ascii="Times New Roman" w:hAnsi="Times New Roman" w:cs="Times New Roman"/>
          <w:sz w:val="32"/>
          <w:szCs w:val="32"/>
        </w:rPr>
        <w:t>омочий Администрации Хуторского</w:t>
      </w:r>
      <w:r w:rsidRPr="00F83849">
        <w:rPr>
          <w:rFonts w:ascii="Times New Roman" w:hAnsi="Times New Roman" w:cs="Times New Roman"/>
          <w:sz w:val="32"/>
          <w:szCs w:val="32"/>
        </w:rPr>
        <w:t xml:space="preserve"> се</w:t>
      </w:r>
      <w:r w:rsidR="00433208">
        <w:rPr>
          <w:rFonts w:ascii="Times New Roman" w:hAnsi="Times New Roman" w:cs="Times New Roman"/>
          <w:sz w:val="32"/>
          <w:szCs w:val="32"/>
        </w:rPr>
        <w:t>льского поселения.</w:t>
      </w:r>
      <w:r w:rsidR="00F0787D">
        <w:rPr>
          <w:rFonts w:ascii="Times New Roman" w:hAnsi="Times New Roman" w:cs="Times New Roman"/>
          <w:sz w:val="32"/>
          <w:szCs w:val="32"/>
        </w:rPr>
        <w:t xml:space="preserve"> </w:t>
      </w:r>
      <w:r w:rsidR="001767FB">
        <w:rPr>
          <w:rFonts w:ascii="Times New Roman" w:hAnsi="Times New Roman" w:cs="Times New Roman"/>
          <w:sz w:val="32"/>
          <w:szCs w:val="32"/>
        </w:rPr>
        <w:t>В течение 2022</w:t>
      </w:r>
      <w:r w:rsidRPr="00F83849">
        <w:rPr>
          <w:rFonts w:ascii="Times New Roman" w:hAnsi="Times New Roman" w:cs="Times New Roman"/>
          <w:sz w:val="32"/>
          <w:szCs w:val="32"/>
        </w:rPr>
        <w:t xml:space="preserve"> года проводились следующие работы: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регулярный покос сорной растительности и карантинных сорняков;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приведение в порядок памятника</w:t>
      </w:r>
      <w:r w:rsidRPr="00F83849">
        <w:rPr>
          <w:rFonts w:ascii="Times New Roman" w:hAnsi="Times New Roman" w:cs="Times New Roman"/>
          <w:sz w:val="32"/>
          <w:szCs w:val="32"/>
        </w:rPr>
        <w:t xml:space="preserve"> погибшим воинам;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обрезка аварийных и сухостой</w:t>
      </w:r>
      <w:r w:rsidR="008F49B4">
        <w:rPr>
          <w:rFonts w:ascii="Times New Roman" w:hAnsi="Times New Roman" w:cs="Times New Roman"/>
          <w:sz w:val="32"/>
          <w:szCs w:val="32"/>
        </w:rPr>
        <w:t>ных деревьев на территории сельсовета.</w:t>
      </w:r>
    </w:p>
    <w:p w:rsidR="0085256B" w:rsidRPr="00F83849" w:rsidRDefault="00F0787D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r w:rsidR="0085256B">
        <w:rPr>
          <w:rFonts w:ascii="Times New Roman" w:hAnsi="Times New Roman" w:cs="Times New Roman"/>
          <w:sz w:val="32"/>
          <w:szCs w:val="32"/>
        </w:rPr>
        <w:t>частичный ремонт ограждения кладбища в с. Хуторка и п. Малахово</w:t>
      </w:r>
    </w:p>
    <w:p w:rsidR="00A22DA7" w:rsidRDefault="00A22DA7" w:rsidP="00A22DA7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256B">
        <w:rPr>
          <w:rFonts w:ascii="Times New Roman" w:hAnsi="Times New Roman" w:cs="Times New Roman"/>
          <w:sz w:val="32"/>
          <w:szCs w:val="32"/>
        </w:rPr>
        <w:t xml:space="preserve">— </w:t>
      </w:r>
      <w:r w:rsidR="00FF2EC9">
        <w:rPr>
          <w:rFonts w:ascii="Times New Roman" w:hAnsi="Times New Roman" w:cs="Times New Roman"/>
          <w:sz w:val="32"/>
          <w:szCs w:val="32"/>
        </w:rPr>
        <w:t>ре</w:t>
      </w:r>
      <w:r w:rsidR="00703623">
        <w:rPr>
          <w:rFonts w:ascii="Times New Roman" w:hAnsi="Times New Roman" w:cs="Times New Roman"/>
          <w:sz w:val="32"/>
          <w:szCs w:val="32"/>
        </w:rPr>
        <w:t>монт участка дороги в с. Сузаново 400 м. ул. Молочная</w:t>
      </w:r>
      <w:r w:rsidR="00FF2EC9">
        <w:rPr>
          <w:rFonts w:ascii="Times New Roman" w:hAnsi="Times New Roman" w:cs="Times New Roman"/>
          <w:sz w:val="32"/>
          <w:szCs w:val="32"/>
        </w:rPr>
        <w:t>.</w:t>
      </w:r>
    </w:p>
    <w:p w:rsidR="00C65896" w:rsidRPr="00F83849" w:rsidRDefault="00F13138" w:rsidP="00A22DA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C65896">
        <w:rPr>
          <w:rFonts w:ascii="Times New Roman" w:hAnsi="Times New Roman" w:cs="Times New Roman"/>
          <w:sz w:val="32"/>
          <w:szCs w:val="32"/>
        </w:rPr>
        <w:t>мочный ремонт асфальтом ул. Советская с. Хуторка.</w:t>
      </w:r>
    </w:p>
    <w:p w:rsidR="00C65896" w:rsidRPr="00B22C47" w:rsidRDefault="004576AB" w:rsidP="00C6589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22D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256B" w:rsidRPr="00F83849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приобретён видео проектор с экраном в Хуторской ДК.</w:t>
      </w:r>
      <w:r w:rsidR="00F131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896" w:rsidRPr="002C28C2" w:rsidRDefault="00A22DA7" w:rsidP="002C28C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3138">
        <w:rPr>
          <w:rFonts w:ascii="Times New Roman" w:hAnsi="Times New Roman" w:cs="Times New Roman"/>
          <w:sz w:val="32"/>
          <w:szCs w:val="32"/>
        </w:rPr>
        <w:t>Приобретен прицеп</w:t>
      </w:r>
      <w:r w:rsidR="004576AB">
        <w:rPr>
          <w:rFonts w:ascii="Times New Roman" w:hAnsi="Times New Roman" w:cs="Times New Roman"/>
          <w:sz w:val="32"/>
          <w:szCs w:val="32"/>
        </w:rPr>
        <w:t>, роторная косилка, отвал для чистки снега.</w:t>
      </w:r>
    </w:p>
    <w:p w:rsidR="00C2364E" w:rsidRDefault="002C28C2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 </w:t>
      </w:r>
      <w:r w:rsidR="004576AB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установлен новый насос в скважине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с.Хуторка</w:t>
      </w:r>
      <w:proofErr w:type="spellEnd"/>
      <w:r w:rsidR="00C2364E">
        <w:rPr>
          <w:rFonts w:ascii="Times New Roman" w:hAnsi="Times New Roman" w:cs="Times New Roman"/>
          <w:sz w:val="32"/>
          <w:szCs w:val="32"/>
        </w:rPr>
        <w:t>.</w:t>
      </w:r>
    </w:p>
    <w:p w:rsidR="00C2364E" w:rsidRDefault="00C2364E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Произведена закупка светодиодных фонарей и ламп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дрл</w:t>
      </w:r>
      <w:proofErr w:type="spellEnd"/>
      <w:r>
        <w:rPr>
          <w:rFonts w:ascii="Times New Roman" w:hAnsi="Times New Roman" w:cs="Times New Roman"/>
          <w:sz w:val="32"/>
          <w:szCs w:val="32"/>
        </w:rPr>
        <w:t>. Для осуществления уличного освещения.</w:t>
      </w:r>
    </w:p>
    <w:p w:rsidR="008F49B4" w:rsidRDefault="008F49B4" w:rsidP="002C28C2">
      <w:pPr>
        <w:pStyle w:val="a9"/>
        <w:ind w:left="795"/>
        <w:rPr>
          <w:rFonts w:ascii="Times New Roman" w:hAnsi="Times New Roman" w:cs="Times New Roman"/>
          <w:sz w:val="32"/>
          <w:szCs w:val="32"/>
        </w:rPr>
      </w:pPr>
    </w:p>
    <w:p w:rsidR="008F49B4" w:rsidRPr="00F83849" w:rsidRDefault="008F49B4" w:rsidP="008F49B4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Для обеспечения пожарной безопасности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в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отчетном году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на территории поселения проводился ряд мер: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4576AB" w:rsidRPr="00F83849" w:rsidRDefault="00A22DA7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5256B" w:rsidRPr="00F83849">
        <w:rPr>
          <w:rFonts w:ascii="Times New Roman" w:hAnsi="Times New Roman" w:cs="Times New Roman"/>
          <w:sz w:val="32"/>
          <w:szCs w:val="32"/>
        </w:rPr>
        <w:t>— подворный обход с вручением памяток о соблюдении пожарной безопасности, разъяснительные работы с населением о</w:t>
      </w:r>
      <w:r w:rsidR="008F49B4">
        <w:rPr>
          <w:rFonts w:ascii="Times New Roman" w:hAnsi="Times New Roman" w:cs="Times New Roman"/>
          <w:sz w:val="32"/>
          <w:szCs w:val="32"/>
        </w:rPr>
        <w:t xml:space="preserve"> </w:t>
      </w:r>
      <w:r w:rsidR="0085256B" w:rsidRPr="00F83849">
        <w:rPr>
          <w:rFonts w:ascii="Times New Roman" w:hAnsi="Times New Roman" w:cs="Times New Roman"/>
          <w:sz w:val="32"/>
          <w:szCs w:val="32"/>
        </w:rPr>
        <w:t>необходимости выкашивания сорной растительности;</w:t>
      </w:r>
    </w:p>
    <w:p w:rsidR="0085256B" w:rsidRPr="00F83849" w:rsidRDefault="00A22DA7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5256B" w:rsidRPr="00F83849">
        <w:rPr>
          <w:rFonts w:ascii="Times New Roman" w:hAnsi="Times New Roman" w:cs="Times New Roman"/>
          <w:sz w:val="32"/>
          <w:szCs w:val="32"/>
        </w:rPr>
        <w:t>— опашка границ населенных пунктов;</w:t>
      </w:r>
    </w:p>
    <w:p w:rsidR="0085256B" w:rsidRDefault="00A22DA7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576AB">
        <w:rPr>
          <w:rFonts w:ascii="Times New Roman" w:hAnsi="Times New Roman" w:cs="Times New Roman"/>
          <w:sz w:val="32"/>
          <w:szCs w:val="32"/>
        </w:rPr>
        <w:t xml:space="preserve">— запрет </w:t>
      </w:r>
      <w:proofErr w:type="gramStart"/>
      <w:r w:rsidR="004576AB">
        <w:rPr>
          <w:rFonts w:ascii="Times New Roman" w:hAnsi="Times New Roman" w:cs="Times New Roman"/>
          <w:sz w:val="32"/>
          <w:szCs w:val="32"/>
        </w:rPr>
        <w:t>на  выжигание</w:t>
      </w:r>
      <w:proofErr w:type="gramEnd"/>
      <w:r w:rsidR="0085256B" w:rsidRPr="00F83849">
        <w:rPr>
          <w:rFonts w:ascii="Times New Roman" w:hAnsi="Times New Roman" w:cs="Times New Roman"/>
          <w:sz w:val="32"/>
          <w:szCs w:val="32"/>
        </w:rPr>
        <w:t xml:space="preserve"> сухой растительности, мусора, особенно во время противопожарного режима на территории </w:t>
      </w:r>
      <w:r w:rsidR="00F6333E">
        <w:rPr>
          <w:rFonts w:ascii="Times New Roman" w:hAnsi="Times New Roman" w:cs="Times New Roman"/>
          <w:sz w:val="32"/>
          <w:szCs w:val="32"/>
        </w:rPr>
        <w:t>Хуторского</w:t>
      </w:r>
      <w:r w:rsidR="0085256B">
        <w:rPr>
          <w:rFonts w:ascii="Times New Roman" w:hAnsi="Times New Roman" w:cs="Times New Roman"/>
          <w:sz w:val="32"/>
          <w:szCs w:val="32"/>
        </w:rPr>
        <w:t xml:space="preserve"> сельсовета. </w:t>
      </w:r>
    </w:p>
    <w:p w:rsidR="004576AB" w:rsidRDefault="004576AB" w:rsidP="00A22DA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многодетным семьям </w:t>
      </w:r>
      <w:r w:rsidR="00A22DA7">
        <w:rPr>
          <w:rFonts w:ascii="Times New Roman" w:hAnsi="Times New Roman" w:cs="Times New Roman"/>
          <w:sz w:val="32"/>
          <w:szCs w:val="32"/>
        </w:rPr>
        <w:t xml:space="preserve">и одиноко проживающим пенсионерам были установлены </w:t>
      </w:r>
      <w:r w:rsidR="008E2395">
        <w:rPr>
          <w:rFonts w:ascii="Times New Roman" w:hAnsi="Times New Roman" w:cs="Times New Roman"/>
          <w:sz w:val="32"/>
          <w:szCs w:val="32"/>
        </w:rPr>
        <w:t xml:space="preserve">пожарные </w:t>
      </w:r>
      <w:proofErr w:type="spellStart"/>
      <w:r w:rsidR="008E2395">
        <w:rPr>
          <w:rFonts w:ascii="Times New Roman" w:hAnsi="Times New Roman" w:cs="Times New Roman"/>
          <w:sz w:val="32"/>
          <w:szCs w:val="32"/>
        </w:rPr>
        <w:t>изве</w:t>
      </w:r>
      <w:r w:rsidR="00A22DA7">
        <w:rPr>
          <w:rFonts w:ascii="Times New Roman" w:hAnsi="Times New Roman" w:cs="Times New Roman"/>
          <w:sz w:val="32"/>
          <w:szCs w:val="32"/>
        </w:rPr>
        <w:t>щатели</w:t>
      </w:r>
      <w:proofErr w:type="spellEnd"/>
      <w:r w:rsidR="00F6333E">
        <w:rPr>
          <w:rFonts w:ascii="Times New Roman" w:hAnsi="Times New Roman" w:cs="Times New Roman"/>
          <w:sz w:val="32"/>
          <w:szCs w:val="32"/>
        </w:rPr>
        <w:t xml:space="preserve"> в количестве 15штук.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Хуторского сельсовета</w:t>
      </w:r>
      <w:r w:rsidRPr="00F83849">
        <w:rPr>
          <w:rFonts w:ascii="Times New Roman" w:hAnsi="Times New Roman" w:cs="Times New Roman"/>
          <w:sz w:val="32"/>
          <w:szCs w:val="32"/>
        </w:rPr>
        <w:t xml:space="preserve"> осуществляет свою деятельнос</w:t>
      </w:r>
      <w:r>
        <w:rPr>
          <w:rFonts w:ascii="Times New Roman" w:hAnsi="Times New Roman" w:cs="Times New Roman"/>
          <w:sz w:val="32"/>
          <w:szCs w:val="32"/>
        </w:rPr>
        <w:t>ть добровольная пожарная команда в количестве 2</w:t>
      </w:r>
      <w:r w:rsidR="008F49B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F83849">
        <w:rPr>
          <w:rFonts w:ascii="Times New Roman" w:hAnsi="Times New Roman" w:cs="Times New Roman"/>
          <w:sz w:val="32"/>
          <w:szCs w:val="32"/>
        </w:rPr>
        <w:t>. В распоряжении членов дружины име</w:t>
      </w:r>
      <w:r>
        <w:rPr>
          <w:rFonts w:ascii="Times New Roman" w:hAnsi="Times New Roman" w:cs="Times New Roman"/>
          <w:sz w:val="32"/>
          <w:szCs w:val="32"/>
        </w:rPr>
        <w:t xml:space="preserve">ется автомобиль АРС- 14 на базе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-131</w:t>
      </w:r>
      <w:r w:rsidRPr="00F8384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для тушения пожаров и </w:t>
      </w:r>
      <w:r w:rsidRPr="0003427A">
        <w:rPr>
          <w:rFonts w:ascii="Times New Roman" w:hAnsi="Times New Roman" w:cs="Times New Roman"/>
          <w:sz w:val="32"/>
          <w:szCs w:val="32"/>
        </w:rPr>
        <w:t>ранцевые огнетушители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lastRenderedPageBreak/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83849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>
        <w:rPr>
          <w:rFonts w:ascii="Times New Roman" w:hAnsi="Times New Roman" w:cs="Times New Roman"/>
          <w:sz w:val="32"/>
          <w:szCs w:val="32"/>
        </w:rPr>
        <w:t xml:space="preserve">каждого села имеется пожарный гидрант. </w:t>
      </w:r>
      <w:r w:rsidRPr="00F83849">
        <w:rPr>
          <w:rFonts w:ascii="Times New Roman" w:hAnsi="Times New Roman" w:cs="Times New Roman"/>
          <w:sz w:val="32"/>
          <w:szCs w:val="32"/>
        </w:rPr>
        <w:t>Анали</w:t>
      </w:r>
      <w:r w:rsidR="00A21201">
        <w:rPr>
          <w:rFonts w:ascii="Times New Roman" w:hAnsi="Times New Roman" w:cs="Times New Roman"/>
          <w:sz w:val="32"/>
          <w:szCs w:val="32"/>
        </w:rPr>
        <w:t>зируя причины возгораний за 2022</w:t>
      </w:r>
      <w:r w:rsidRPr="00F83849">
        <w:rPr>
          <w:rFonts w:ascii="Times New Roman" w:hAnsi="Times New Roman" w:cs="Times New Roman"/>
          <w:sz w:val="32"/>
          <w:szCs w:val="32"/>
        </w:rPr>
        <w:t xml:space="preserve">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птицы.</w:t>
      </w: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85256B" w:rsidRPr="00F7578D" w:rsidRDefault="00A21201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на 2023</w:t>
      </w:r>
      <w:r w:rsidR="0085256B" w:rsidRPr="00F7578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Приоритетны</w:t>
      </w:r>
      <w:r w:rsidR="00A21201">
        <w:rPr>
          <w:rFonts w:ascii="Times New Roman" w:hAnsi="Times New Roman" w:cs="Times New Roman"/>
          <w:sz w:val="32"/>
          <w:szCs w:val="32"/>
        </w:rPr>
        <w:t>ми направлениями в работе в 2023</w:t>
      </w:r>
      <w:r w:rsidRPr="00F7578D">
        <w:rPr>
          <w:rFonts w:ascii="Times New Roman" w:hAnsi="Times New Roman" w:cs="Times New Roman"/>
          <w:sz w:val="32"/>
          <w:szCs w:val="32"/>
        </w:rPr>
        <w:t xml:space="preserve"> году останутся: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85256B" w:rsidRPr="00F7578D" w:rsidRDefault="0085256B" w:rsidP="008525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сокращение роста недоимки по налоговым и неналоговым платежам;</w:t>
      </w:r>
    </w:p>
    <w:p w:rsidR="00CC2173" w:rsidRDefault="0085256B" w:rsidP="00CC2173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дополнительных контейнеров ТКО.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ремонт о</w:t>
      </w:r>
      <w:r w:rsidR="008F49B4">
        <w:rPr>
          <w:rFonts w:ascii="Times New Roman" w:hAnsi="Times New Roman" w:cs="Times New Roman"/>
          <w:sz w:val="32"/>
          <w:szCs w:val="32"/>
        </w:rPr>
        <w:t>граждения кладбища в с.Сузаново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спортивного инвентаря. 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приобретение детской площадки.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 w:rsidR="00CC2173">
        <w:rPr>
          <w:rFonts w:ascii="Times New Roman" w:hAnsi="Times New Roman" w:cs="Times New Roman"/>
          <w:sz w:val="32"/>
          <w:szCs w:val="32"/>
        </w:rPr>
        <w:t xml:space="preserve"> ремонт домика скважины в с. Сузаново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ремонт дороги в с.</w:t>
      </w:r>
      <w:r w:rsidR="00CC2173">
        <w:rPr>
          <w:rFonts w:ascii="Times New Roman" w:hAnsi="Times New Roman" w:cs="Times New Roman"/>
          <w:sz w:val="32"/>
          <w:szCs w:val="32"/>
        </w:rPr>
        <w:t xml:space="preserve"> Хуторка на улице Набережная 100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F7578D">
        <w:rPr>
          <w:rFonts w:ascii="Times New Roman" w:hAnsi="Times New Roman" w:cs="Times New Roman"/>
          <w:sz w:val="32"/>
          <w:szCs w:val="32"/>
        </w:rPr>
        <w:t>.</w:t>
      </w:r>
    </w:p>
    <w:p w:rsidR="00A22DA7" w:rsidRPr="00F7578D" w:rsidRDefault="00A22DA7" w:rsidP="00A22DA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приобретение трактора МТЗ 82.1 с куном.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Подводя итоги, я хочу сказать огромное спасибо депутатам, руководителям учреждений и организаций, индивидуальным предпринимателям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7578D">
        <w:rPr>
          <w:rFonts w:ascii="Times New Roman" w:hAnsi="Times New Roman" w:cs="Times New Roman"/>
          <w:sz w:val="32"/>
          <w:szCs w:val="32"/>
        </w:rPr>
        <w:t>жителям поселения, которые не остаются в стороне от наших проблем и</w:t>
      </w:r>
      <w:r w:rsidR="00CC2173">
        <w:rPr>
          <w:rFonts w:ascii="Times New Roman" w:hAnsi="Times New Roman" w:cs="Times New Roman"/>
          <w:sz w:val="32"/>
          <w:szCs w:val="32"/>
        </w:rPr>
        <w:t xml:space="preserve"> </w:t>
      </w:r>
      <w:r w:rsidRPr="00F7578D">
        <w:rPr>
          <w:rFonts w:ascii="Times New Roman" w:hAnsi="Times New Roman" w:cs="Times New Roman"/>
          <w:sz w:val="32"/>
          <w:szCs w:val="32"/>
        </w:rPr>
        <w:t>оказывают всевозможную помощь.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заключение хочу пожелать всем крепкого здоровья, семейного благополучия и хорошего весеннего настроения! 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2338A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Хуторской                                                       Семенко С.А.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сельсовет </w:t>
      </w:r>
    </w:p>
    <w:p w:rsidR="0085256B" w:rsidRDefault="0085256B" w:rsidP="0085256B">
      <w:pPr>
        <w:jc w:val="center"/>
      </w:pPr>
    </w:p>
    <w:sectPr w:rsidR="0085256B" w:rsidSect="00284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955"/>
    <w:multiLevelType w:val="hybridMultilevel"/>
    <w:tmpl w:val="58BEEE50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59C"/>
    <w:multiLevelType w:val="hybridMultilevel"/>
    <w:tmpl w:val="CE2ABFA2"/>
    <w:lvl w:ilvl="0" w:tplc="B12EE3C8">
      <w:start w:val="1"/>
      <w:numFmt w:val="bullet"/>
      <w:lvlText w:val="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BE018B2"/>
    <w:multiLevelType w:val="hybridMultilevel"/>
    <w:tmpl w:val="2A98665C"/>
    <w:lvl w:ilvl="0" w:tplc="B12EE3C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37860DA"/>
    <w:multiLevelType w:val="hybridMultilevel"/>
    <w:tmpl w:val="8D3841BE"/>
    <w:lvl w:ilvl="0" w:tplc="B12EE3C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894A07"/>
    <w:multiLevelType w:val="hybridMultilevel"/>
    <w:tmpl w:val="D04CA372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679B"/>
    <w:multiLevelType w:val="hybridMultilevel"/>
    <w:tmpl w:val="1400878E"/>
    <w:lvl w:ilvl="0" w:tplc="E82C9D9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A0C30"/>
    <w:multiLevelType w:val="hybridMultilevel"/>
    <w:tmpl w:val="7DA0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F49E2"/>
    <w:multiLevelType w:val="hybridMultilevel"/>
    <w:tmpl w:val="568247B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B21"/>
    <w:multiLevelType w:val="hybridMultilevel"/>
    <w:tmpl w:val="F8404FC8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A5474"/>
    <w:multiLevelType w:val="hybridMultilevel"/>
    <w:tmpl w:val="2E20F96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85609"/>
    <w:multiLevelType w:val="hybridMultilevel"/>
    <w:tmpl w:val="9EC686A0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A"/>
    <w:rsid w:val="00051118"/>
    <w:rsid w:val="00155FC9"/>
    <w:rsid w:val="001767FB"/>
    <w:rsid w:val="001F3A1A"/>
    <w:rsid w:val="002844DA"/>
    <w:rsid w:val="002C28C2"/>
    <w:rsid w:val="002C3F1E"/>
    <w:rsid w:val="003839E7"/>
    <w:rsid w:val="00433208"/>
    <w:rsid w:val="004576AB"/>
    <w:rsid w:val="004659D7"/>
    <w:rsid w:val="004B15BC"/>
    <w:rsid w:val="00520A21"/>
    <w:rsid w:val="00591F89"/>
    <w:rsid w:val="005F3B57"/>
    <w:rsid w:val="00640D0E"/>
    <w:rsid w:val="006C6779"/>
    <w:rsid w:val="006D4236"/>
    <w:rsid w:val="00703623"/>
    <w:rsid w:val="0077388C"/>
    <w:rsid w:val="007A2B37"/>
    <w:rsid w:val="007B3E69"/>
    <w:rsid w:val="007B5F49"/>
    <w:rsid w:val="0085256B"/>
    <w:rsid w:val="008C2383"/>
    <w:rsid w:val="008E2395"/>
    <w:rsid w:val="008E76BD"/>
    <w:rsid w:val="008F2998"/>
    <w:rsid w:val="008F49B4"/>
    <w:rsid w:val="00975908"/>
    <w:rsid w:val="00A21201"/>
    <w:rsid w:val="00A22DA7"/>
    <w:rsid w:val="00AC3F44"/>
    <w:rsid w:val="00C21209"/>
    <w:rsid w:val="00C2364E"/>
    <w:rsid w:val="00C65896"/>
    <w:rsid w:val="00C77EC3"/>
    <w:rsid w:val="00C810CD"/>
    <w:rsid w:val="00CC2173"/>
    <w:rsid w:val="00DA7E2A"/>
    <w:rsid w:val="00EC4D7E"/>
    <w:rsid w:val="00F0787D"/>
    <w:rsid w:val="00F13138"/>
    <w:rsid w:val="00F6333E"/>
    <w:rsid w:val="00FF2EC9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5C07-D3B0-445A-A504-B02D950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844D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844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rsid w:val="00284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844D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844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2844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4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4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5256B"/>
    <w:pPr>
      <w:suppressAutoHyphens/>
      <w:spacing w:after="0" w:line="240" w:lineRule="auto"/>
    </w:pPr>
    <w:rPr>
      <w:rFonts w:ascii="Calibri" w:eastAsia="SimSu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2D27-C7BA-459F-9616-3F324945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2022-03-09T06:13:00Z</cp:lastPrinted>
  <dcterms:created xsi:type="dcterms:W3CDTF">2023-02-28T05:50:00Z</dcterms:created>
  <dcterms:modified xsi:type="dcterms:W3CDTF">2023-02-28T05:51:00Z</dcterms:modified>
</cp:coreProperties>
</file>