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BE27D7" w:rsidRDefault="00BE27D7" w:rsidP="00BE27D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27D7" w:rsidRDefault="00BE27D7" w:rsidP="00BE27D7">
      <w:pPr>
        <w:pStyle w:val="ConsPlusTitle"/>
        <w:jc w:val="center"/>
        <w:rPr>
          <w:sz w:val="28"/>
          <w:szCs w:val="28"/>
        </w:rPr>
      </w:pPr>
    </w:p>
    <w:p w:rsidR="009864DB" w:rsidRPr="00BE27D7" w:rsidRDefault="00BE27D7" w:rsidP="00BE27D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От 23.01.2023</w:t>
      </w:r>
      <w:r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>№ 10</w:t>
      </w:r>
      <w:r>
        <w:rPr>
          <w:sz w:val="28"/>
          <w:szCs w:val="28"/>
        </w:rPr>
        <w:t>-п</w:t>
      </w:r>
      <w:bookmarkStart w:id="0" w:name="_GoBack"/>
      <w:bookmarkEnd w:id="0"/>
    </w:p>
    <w:p w:rsidR="009864DB" w:rsidRDefault="009864DB" w:rsidP="009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27D7">
        <w:rPr>
          <w:b/>
          <w:sz w:val="28"/>
          <w:szCs w:val="28"/>
        </w:rPr>
        <w:t xml:space="preserve"> 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Хуторской сельсовет Новосергиевского района Оренбургской области, </w:t>
      </w:r>
      <w:r>
        <w:rPr>
          <w:bCs/>
          <w:sz w:val="28"/>
          <w:szCs w:val="28"/>
        </w:rPr>
        <w:t>руководствуясь Уставом муниципального образования Хуторской сельсовет Новосергиевского района Оренбургской области:</w:t>
      </w:r>
    </w:p>
    <w:p w:rsidR="009864DB" w:rsidRDefault="009864DB" w:rsidP="009864DB">
      <w:pPr>
        <w:ind w:firstLine="540"/>
        <w:jc w:val="both"/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Хуторской сельсовета Новосергиевского района Оренбургской области.</w:t>
      </w: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64DB" w:rsidRDefault="009864DB" w:rsidP="009864DB">
      <w:pPr>
        <w:ind w:firstLine="540"/>
        <w:jc w:val="both"/>
      </w:pPr>
      <w:r>
        <w:rPr>
          <w:sz w:val="28"/>
          <w:szCs w:val="28"/>
        </w:rPr>
        <w:t>Хуторской сельсовет</w:t>
      </w:r>
    </w:p>
    <w:p w:rsidR="009864DB" w:rsidRDefault="009864DB" w:rsidP="009864DB">
      <w:pPr>
        <w:jc w:val="both"/>
        <w:rPr>
          <w:sz w:val="28"/>
          <w:szCs w:val="28"/>
        </w:rPr>
      </w:pPr>
    </w:p>
    <w:p w:rsidR="009864DB" w:rsidRDefault="009864DB" w:rsidP="00986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  </w:t>
      </w:r>
    </w:p>
    <w:p w:rsidR="009864DB" w:rsidRDefault="009864DB" w:rsidP="00986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64DB" w:rsidRDefault="009864DB" w:rsidP="009864DB">
      <w:pPr>
        <w:tabs>
          <w:tab w:val="left" w:pos="6012"/>
        </w:tabs>
        <w:ind w:right="15" w:firstLine="540"/>
        <w:jc w:val="right"/>
      </w:pPr>
      <w:r>
        <w:rPr>
          <w:sz w:val="28"/>
          <w:szCs w:val="28"/>
        </w:rPr>
        <w:t xml:space="preserve">Приложение </w:t>
      </w:r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Хуторской  сельсовета</w:t>
      </w:r>
      <w:proofErr w:type="gramEnd"/>
      <w:r>
        <w:rPr>
          <w:sz w:val="28"/>
          <w:szCs w:val="28"/>
        </w:rPr>
        <w:t xml:space="preserve"> </w:t>
      </w:r>
    </w:p>
    <w:p w:rsidR="009864DB" w:rsidRDefault="009864DB" w:rsidP="009864DB">
      <w:pPr>
        <w:rPr>
          <w:sz w:val="28"/>
          <w:szCs w:val="28"/>
        </w:rPr>
      </w:pPr>
    </w:p>
    <w:p w:rsidR="009864DB" w:rsidRDefault="009864DB" w:rsidP="009864DB">
      <w:pPr>
        <w:ind w:left="5103"/>
        <w:jc w:val="center"/>
        <w:rPr>
          <w:sz w:val="24"/>
          <w:szCs w:val="24"/>
        </w:rPr>
      </w:pPr>
      <w:r>
        <w:rPr>
          <w:rFonts w:eastAsia="Calibri" w:cs="Calibri"/>
          <w:b/>
          <w:sz w:val="28"/>
          <w:szCs w:val="28"/>
        </w:rPr>
        <w:t xml:space="preserve"> 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автомобильном транспорте и в дорожном хозяйстве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образования Хуторского сельсовет Новосергиевского района Оренбургской области</w:t>
      </w:r>
    </w:p>
    <w:p w:rsidR="009864DB" w:rsidRDefault="009864DB" w:rsidP="009864DB">
      <w:pPr>
        <w:ind w:firstLine="567"/>
        <w:jc w:val="both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Хуторской сельсовет Новосергиевского района Оренбургской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далее – контрольный орган).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</w:pPr>
      <w:r>
        <w:rPr>
          <w:b/>
          <w:bCs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b/>
          <w:bCs/>
          <w:sz w:val="28"/>
          <w:szCs w:val="28"/>
        </w:rPr>
        <w:t>, характеристика проблем, на решение которых направлена Программа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Вид осуществляемого муниципального контроля. 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Хуторской сельсовет Новосергиевского района Оренбургской области. 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Обзор по виду муниципального контроля. 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Хуторской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Хуторской сельсовет    (далее - автомобильные дороги), в том числе при </w:t>
      </w:r>
      <w:r>
        <w:rPr>
          <w:sz w:val="28"/>
          <w:szCs w:val="28"/>
        </w:rPr>
        <w:lastRenderedPageBreak/>
        <w:t>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Хуторской сельсовет Новосергиевского района Оренбургской области, являются: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Хуторской сельсовет   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Хуторской сельсовет        за 9 месяцев 2022 года проведено 0 проверок соблюдения действующего законодательства Российской Федерации в указанной сфере.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Главной задачей администрации муниципального образования Хуторской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Размещение на официальном сайте муниципального образования Хуторской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соответствующих нормативных правовых актов;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МО Хуторской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3). </w:t>
      </w:r>
      <w:r>
        <w:rPr>
          <w:sz w:val="28"/>
          <w:szCs w:val="28"/>
        </w:rPr>
        <w:tab/>
        <w:t>Совершенствование и развитие тематического раздела на официальном сайте МО Хуторской сельсовет;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реализации Программы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>
        <w:rPr>
          <w:sz w:val="28"/>
          <w:szCs w:val="28"/>
        </w:rPr>
        <w:t>и (или) причинению вреда (ущерба) охраняемым законом ценностям</w:t>
      </w:r>
      <w:bookmarkEnd w:id="1"/>
      <w:r>
        <w:rPr>
          <w:sz w:val="28"/>
          <w:szCs w:val="28"/>
        </w:rPr>
        <w:t xml:space="preserve">;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прозрачности системы контрольно-надзорной деятельности.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Совета депутатов МО </w:t>
      </w:r>
      <w:proofErr w:type="gramStart"/>
      <w:r>
        <w:rPr>
          <w:sz w:val="28"/>
          <w:szCs w:val="28"/>
        </w:rPr>
        <w:t>Хуторской  сельсовета</w:t>
      </w:r>
      <w:proofErr w:type="gramEnd"/>
      <w:r>
        <w:rPr>
          <w:sz w:val="28"/>
          <w:szCs w:val="28"/>
        </w:rPr>
        <w:t>, проводятся следующие профилактические мероприятия: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41"/>
      </w:tblGrid>
      <w:tr w:rsidR="009864DB" w:rsidTr="00F62DC3">
        <w:trPr>
          <w:trHeight w:hRule="exact" w:val="10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№  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ind w:right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9864DB" w:rsidTr="00F62DC3">
        <w:trPr>
          <w:trHeight w:hRule="exact" w:val="44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Информирование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  <w:r>
              <w:rPr>
                <w:bCs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proofErr w:type="gramStart"/>
            <w:r>
              <w:t>Хуторской  сельсовета</w:t>
            </w:r>
            <w:proofErr w:type="gramEnd"/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8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Обобщение правоприменительной практики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9864DB" w:rsidRDefault="009864DB" w:rsidP="00F62DC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Pr="00A15CB2" w:rsidRDefault="009864DB" w:rsidP="00F62DC3">
            <w:pPr>
              <w:pStyle w:val="HTML"/>
              <w:spacing w:line="0" w:lineRule="atLeast"/>
              <w:ind w:right="15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A15C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9864DB" w:rsidRPr="00A15CB2" w:rsidRDefault="009864DB" w:rsidP="00F62DC3">
            <w:pPr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4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Объявление предостережения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/>
              <w:jc w:val="both"/>
              <w:rPr>
                <w:bCs/>
              </w:rPr>
            </w:pPr>
            <w:r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864DB" w:rsidRDefault="009864DB" w:rsidP="00F62DC3">
            <w:pPr>
              <w:widowControl w:val="0"/>
              <w:spacing w:line="0" w:lineRule="atLeast"/>
              <w:ind w:right="1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6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Консультирование.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</w:rPr>
            </w:pPr>
            <w:r>
              <w:rPr>
                <w:bCs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6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Профилактический визит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9864DB" w:rsidRDefault="009864DB" w:rsidP="00F62DC3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Обязательные профилактические визиты проводятся один раз в год.</w:t>
            </w:r>
          </w:p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9864DB" w:rsidRDefault="009864DB" w:rsidP="009864DB">
      <w:pPr>
        <w:ind w:firstLine="567"/>
        <w:jc w:val="both"/>
        <w:rPr>
          <w:sz w:val="24"/>
          <w:szCs w:val="24"/>
        </w:rPr>
      </w:pPr>
    </w:p>
    <w:p w:rsidR="009864DB" w:rsidRDefault="009864DB" w:rsidP="009864DB">
      <w:pPr>
        <w:pStyle w:val="ConsPlusNormal"/>
        <w:spacing w:line="0" w:lineRule="atLeast"/>
        <w:ind w:right="131" w:firstLine="119"/>
        <w:jc w:val="center"/>
      </w:pPr>
      <w:r>
        <w:rPr>
          <w:b/>
          <w:color w:val="000000"/>
          <w:shd w:val="clear" w:color="auto" w:fill="FFFFFF"/>
        </w:rPr>
        <w:t>4</w:t>
      </w:r>
      <w:r>
        <w:rPr>
          <w:b/>
        </w:rPr>
        <w:t>. Показатели результативности и эффективности Программы</w:t>
      </w:r>
    </w:p>
    <w:p w:rsidR="009864DB" w:rsidRDefault="009864DB" w:rsidP="009864DB">
      <w:pPr>
        <w:pStyle w:val="ConsPlusNormal"/>
        <w:spacing w:line="0" w:lineRule="atLeast"/>
        <w:ind w:right="131" w:firstLine="119"/>
        <w:jc w:val="both"/>
        <w:rPr>
          <w:b/>
          <w:bCs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635"/>
        <w:gridCol w:w="2697"/>
      </w:tblGrid>
      <w:tr w:rsidR="009864DB" w:rsidTr="00F62DC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Величина</w:t>
            </w:r>
          </w:p>
        </w:tc>
      </w:tr>
      <w:tr w:rsidR="009864DB" w:rsidTr="00F62DC3">
        <w:trPr>
          <w:trHeight w:hRule="exact" w:val="14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9864DB" w:rsidTr="00F62DC3">
        <w:trPr>
          <w:trHeight w:hRule="exact" w:val="8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Исполнено / Не исполнено</w:t>
            </w:r>
          </w:p>
        </w:tc>
      </w:tr>
      <w:tr w:rsidR="009864DB" w:rsidTr="00F62DC3">
        <w:trPr>
          <w:trHeight w:hRule="exact" w:val="1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20% и более</w:t>
            </w:r>
          </w:p>
        </w:tc>
      </w:tr>
      <w:tr w:rsidR="009864DB" w:rsidTr="00F62DC3">
        <w:trPr>
          <w:trHeight w:hRule="exact" w:val="7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9864DB" w:rsidRDefault="009864DB" w:rsidP="009864DB">
      <w:pPr>
        <w:pStyle w:val="ConsPlusNormal"/>
        <w:spacing w:line="0" w:lineRule="atLeast"/>
        <w:ind w:right="131" w:firstLine="119"/>
        <w:jc w:val="both"/>
        <w:rPr>
          <w:bCs/>
        </w:rPr>
      </w:pPr>
    </w:p>
    <w:p w:rsidR="009864DB" w:rsidRDefault="009864DB" w:rsidP="009864DB">
      <w:pPr>
        <w:jc w:val="center"/>
        <w:rPr>
          <w:b/>
          <w:sz w:val="28"/>
          <w:szCs w:val="28"/>
        </w:rPr>
      </w:pPr>
    </w:p>
    <w:p w:rsidR="008114AB" w:rsidRDefault="008114AB"/>
    <w:sectPr w:rsidR="008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79"/>
    <w:rsid w:val="004F1D79"/>
    <w:rsid w:val="008114AB"/>
    <w:rsid w:val="008B27FC"/>
    <w:rsid w:val="009864DB"/>
    <w:rsid w:val="00BE27D7"/>
    <w:rsid w:val="00CD0D08"/>
    <w:rsid w:val="00D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B6A3-4DBE-4FB1-B195-93E9FAD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8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9864DB"/>
    <w:rPr>
      <w:rFonts w:ascii="Courier New" w:hAnsi="Courier New" w:cs="Courier New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9864D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ConsPlusTitle">
    <w:name w:val="ConsPlusTitle"/>
    <w:uiPriority w:val="99"/>
    <w:rsid w:val="00BE27D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2023-01-23T10:45:00Z</dcterms:created>
  <dcterms:modified xsi:type="dcterms:W3CDTF">2023-01-23T10:50:00Z</dcterms:modified>
</cp:coreProperties>
</file>